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31" w:rsidRPr="00BA4B88" w:rsidRDefault="00EE5531" w:rsidP="00EE5531">
      <w:pPr>
        <w:pStyle w:val="DraftLineWC"/>
        <w:framePr w:hSpace="115" w:vSpace="115" w:wrap="around" w:y="433"/>
        <w:rPr>
          <w:rFonts w:ascii="Arial" w:hAnsi="Arial" w:cs="Arial"/>
        </w:rPr>
      </w:pPr>
      <w:r>
        <w:rPr>
          <w:rFonts w:ascii="Arial" w:hAnsi="Arial" w:cs="Arial"/>
          <w:noProof/>
        </w:rPr>
        <w:t xml:space="preserve">[*] </w:t>
      </w:r>
      <w:r w:rsidRPr="00BA4B88">
        <w:rPr>
          <w:rFonts w:ascii="Arial" w:hAnsi="Arial" w:cs="Arial"/>
          <w:noProof/>
        </w:rPr>
        <w:t>202</w:t>
      </w:r>
      <w:r>
        <w:rPr>
          <w:rFonts w:ascii="Arial" w:hAnsi="Arial" w:cs="Arial"/>
          <w:noProof/>
        </w:rPr>
        <w:t>4</w:t>
      </w:r>
    </w:p>
    <w:p w:rsidR="00EE5531" w:rsidRPr="00EE5531" w:rsidRDefault="00EE5531" w:rsidP="00EE5531">
      <w:pPr>
        <w:pStyle w:val="Tablecaption0"/>
        <w:spacing w:before="180" w:after="180"/>
        <w:jc w:val="center"/>
        <w:rPr>
          <w:color w:val="auto"/>
          <w:szCs w:val="18"/>
          <w:lang w:val="en-US"/>
        </w:rPr>
      </w:pPr>
    </w:p>
    <w:p w:rsidR="00EE5531" w:rsidRPr="00EE5531" w:rsidRDefault="00EE5531" w:rsidP="00EE5531">
      <w:pPr>
        <w:pStyle w:val="Tablecaption0"/>
        <w:spacing w:before="180" w:after="180"/>
        <w:jc w:val="center"/>
        <w:rPr>
          <w:color w:val="auto"/>
          <w:szCs w:val="18"/>
          <w:lang w:val="en-US"/>
        </w:rPr>
      </w:pPr>
      <w:r w:rsidRPr="00EE5531">
        <w:rPr>
          <w:color w:val="auto"/>
          <w:szCs w:val="18"/>
          <w:lang w:val="en-US"/>
        </w:rPr>
        <w:t xml:space="preserve">CHECKLIST OF AIFC MAR REQUIREMENTS AND AIX PR </w:t>
      </w:r>
    </w:p>
    <w:p w:rsidR="00EE5531" w:rsidRPr="00EE5531" w:rsidRDefault="00EE5531" w:rsidP="00EE5531">
      <w:pPr>
        <w:pStyle w:val="Tablecaption0"/>
        <w:spacing w:before="180" w:after="180"/>
        <w:jc w:val="center"/>
        <w:rPr>
          <w:color w:val="auto"/>
          <w:szCs w:val="18"/>
          <w:lang w:val="en-US"/>
        </w:rPr>
      </w:pPr>
      <w:r w:rsidRPr="00EE5531">
        <w:rPr>
          <w:color w:val="auto"/>
          <w:szCs w:val="18"/>
          <w:lang w:val="en-US"/>
        </w:rPr>
        <w:t>FOR THE CONTENTS OF (1) PROSPECTUS SUMMARY, (2) REGISTRATION DOCUMENT, AND (3) SECURITIES NOTE WITH REFERENCES TO THE REMS SHARES PROSPECTUS</w:t>
      </w:r>
      <w:r w:rsidRPr="00EE5531">
        <w:rPr>
          <w:lang w:val="en-US"/>
        </w:rPr>
        <w:t xml:space="preserve"> </w:t>
      </w:r>
      <w:r w:rsidRPr="00EE5531">
        <w:rPr>
          <w:color w:val="auto"/>
          <w:szCs w:val="18"/>
          <w:lang w:val="en-US"/>
        </w:rPr>
        <w:t>OF [</w:t>
      </w:r>
      <w:r w:rsidRPr="00EE5531">
        <w:rPr>
          <w:color w:val="auto"/>
          <w:szCs w:val="18"/>
          <w:highlight w:val="yellow"/>
          <w:lang w:val="en-US"/>
        </w:rPr>
        <w:t>name of the ISSUER</w:t>
      </w:r>
      <w:r w:rsidRPr="00EE5531">
        <w:rPr>
          <w:color w:val="auto"/>
          <w:szCs w:val="18"/>
          <w:lang w:val="en-US"/>
        </w:rPr>
        <w:t>]</w:t>
      </w:r>
    </w:p>
    <w:p w:rsidR="00EE5531" w:rsidRPr="00EE5531" w:rsidRDefault="00EE5531" w:rsidP="00EE5531">
      <w:pPr>
        <w:pStyle w:val="Tablecaption0"/>
        <w:spacing w:before="180" w:after="180"/>
        <w:rPr>
          <w:color w:val="auto"/>
          <w:szCs w:val="18"/>
          <w:lang w:val="en-US"/>
        </w:rPr>
      </w:pPr>
    </w:p>
    <w:p w:rsidR="00EE5531" w:rsidRPr="00EE5531" w:rsidRDefault="00EE5531" w:rsidP="00EE5531">
      <w:pPr>
        <w:pStyle w:val="Tablecaption0"/>
        <w:spacing w:before="180" w:after="180"/>
        <w:rPr>
          <w:color w:val="auto"/>
          <w:szCs w:val="18"/>
          <w:lang w:val="en-US"/>
        </w:rPr>
      </w:pPr>
      <w:r w:rsidRPr="00EE5531">
        <w:rPr>
          <w:color w:val="auto"/>
          <w:szCs w:val="18"/>
          <w:lang w:val="en-US"/>
        </w:rPr>
        <w:t>SCHEDULE 1: REGISTRATION DOCUMENT</w:t>
      </w:r>
      <w:r w:rsidRPr="00EE5531">
        <w:rPr>
          <w:color w:val="auto"/>
          <w:szCs w:val="18"/>
          <w:lang w:val="en-US"/>
        </w:rPr>
        <w:tab/>
      </w:r>
      <w:r w:rsidRPr="00EE5531">
        <w:rPr>
          <w:color w:val="auto"/>
          <w:szCs w:val="18"/>
          <w:lang w:val="en-US"/>
        </w:rPr>
        <w:tab/>
      </w:r>
      <w:r w:rsidRPr="00EE5531">
        <w:rPr>
          <w:color w:val="auto"/>
          <w:szCs w:val="18"/>
          <w:lang w:val="en-US"/>
        </w:rPr>
        <w:tab/>
      </w:r>
      <w:r w:rsidRPr="00EE5531">
        <w:rPr>
          <w:color w:val="auto"/>
          <w:szCs w:val="18"/>
          <w:lang w:val="en-US"/>
        </w:rPr>
        <w:tab/>
      </w:r>
      <w:r w:rsidRPr="00EE5531">
        <w:rPr>
          <w:color w:val="auto"/>
          <w:szCs w:val="18"/>
          <w:lang w:val="en-US"/>
        </w:rPr>
        <w:tab/>
        <w:t>AIFC MARKET RULES</w:t>
      </w:r>
    </w:p>
    <w:p w:rsidR="00EE5531" w:rsidRPr="00EE5531" w:rsidRDefault="00EE5531" w:rsidP="00EE5531">
      <w:pPr>
        <w:pStyle w:val="Tablecaption0"/>
        <w:spacing w:before="180" w:after="180"/>
        <w:rPr>
          <w:color w:val="auto"/>
          <w:szCs w:val="18"/>
          <w:lang w:val="en-US"/>
        </w:rPr>
      </w:pPr>
    </w:p>
    <w:tbl>
      <w:tblPr>
        <w:tblW w:w="0" w:type="auto"/>
        <w:tblLook w:val="04A0" w:firstRow="1" w:lastRow="0" w:firstColumn="1" w:lastColumn="0" w:noHBand="0" w:noVBand="1"/>
      </w:tblPr>
      <w:tblGrid>
        <w:gridCol w:w="606"/>
        <w:gridCol w:w="6216"/>
        <w:gridCol w:w="977"/>
        <w:gridCol w:w="1603"/>
        <w:gridCol w:w="222"/>
      </w:tblGrid>
      <w:tr w:rsidR="00EE5531" w:rsidRPr="00A6645E" w:rsidTr="00F5656A">
        <w:trPr>
          <w:gridAfter w:val="1"/>
          <w:cantSplit/>
          <w:trHeight w:val="20"/>
        </w:trPr>
        <w:tc>
          <w:tcPr>
            <w:tcW w:w="0" w:type="auto"/>
            <w:tcBorders>
              <w:top w:val="single" w:sz="8" w:space="0" w:color="auto"/>
              <w:left w:val="single" w:sz="8" w:space="0" w:color="auto"/>
              <w:bottom w:val="nil"/>
              <w:right w:val="nil"/>
            </w:tcBorders>
            <w:shd w:val="clear" w:color="000000" w:fill="00B0F0"/>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single" w:sz="8" w:space="0" w:color="auto"/>
              <w:left w:val="single" w:sz="8" w:space="0" w:color="auto"/>
              <w:bottom w:val="nil"/>
              <w:right w:val="nil"/>
            </w:tcBorders>
            <w:shd w:val="clear" w:color="000000" w:fill="00B0F0"/>
            <w:vAlign w:val="center"/>
            <w:hideMark/>
          </w:tcPr>
          <w:p w:rsidR="00EE5531" w:rsidRPr="00A6645E" w:rsidRDefault="00EE5531" w:rsidP="00F5656A">
            <w:pPr>
              <w:widowControl/>
              <w:rPr>
                <w:rFonts w:ascii="Arial" w:eastAsia="Times New Roman" w:hAnsi="Arial" w:cs="Arial"/>
                <w:b/>
                <w:bCs/>
                <w:color w:val="FFFFFF"/>
                <w:sz w:val="20"/>
                <w:szCs w:val="20"/>
                <w:lang w:val="en-US" w:eastAsia="en-US" w:bidi="ar-SA"/>
              </w:rPr>
            </w:pPr>
            <w:r w:rsidRPr="00A6645E">
              <w:rPr>
                <w:rFonts w:ascii="Arial" w:eastAsia="Times New Roman" w:hAnsi="Arial" w:cs="Arial"/>
                <w:b/>
                <w:bCs/>
                <w:color w:val="FFFFFF" w:themeColor="background1"/>
                <w:sz w:val="20"/>
                <w:szCs w:val="18"/>
                <w:lang w:eastAsia="en-US" w:bidi="ar-SA"/>
              </w:rPr>
              <w:t>CONTENTS OF PROSPECTUS — REGISTRATION DOCUMENT</w:t>
            </w:r>
          </w:p>
        </w:tc>
        <w:tc>
          <w:tcPr>
            <w:tcW w:w="0" w:type="auto"/>
            <w:tcBorders>
              <w:top w:val="single" w:sz="8" w:space="0" w:color="auto"/>
              <w:left w:val="single" w:sz="8" w:space="0" w:color="auto"/>
              <w:bottom w:val="nil"/>
              <w:right w:val="nil"/>
            </w:tcBorders>
            <w:shd w:val="clear" w:color="000000" w:fill="00B0F0"/>
            <w:vAlign w:val="center"/>
            <w:hideMark/>
          </w:tcPr>
          <w:p w:rsidR="00EE5531" w:rsidRPr="00A6645E" w:rsidRDefault="00EE5531" w:rsidP="00F5656A">
            <w:pPr>
              <w:widowControl/>
              <w:rPr>
                <w:rFonts w:ascii="Arial" w:eastAsia="Times New Roman" w:hAnsi="Arial" w:cs="Arial"/>
                <w:b/>
                <w:bCs/>
                <w:color w:val="FFFFFF"/>
                <w:sz w:val="20"/>
                <w:szCs w:val="20"/>
                <w:lang w:val="en-US" w:eastAsia="en-US" w:bidi="ar-SA"/>
              </w:rPr>
            </w:pPr>
            <w:r w:rsidRPr="00A6645E">
              <w:rPr>
                <w:rFonts w:ascii="Arial" w:eastAsia="Times New Roman" w:hAnsi="Arial" w:cs="Arial"/>
                <w:b/>
                <w:bCs/>
                <w:color w:val="FFFFFF" w:themeColor="background1"/>
                <w:sz w:val="20"/>
                <w:szCs w:val="18"/>
                <w:lang w:eastAsia="en-US" w:bidi="ar-SA"/>
              </w:rPr>
              <w:t>REMS Shares</w:t>
            </w:r>
          </w:p>
        </w:tc>
        <w:tc>
          <w:tcPr>
            <w:tcW w:w="0" w:type="auto"/>
            <w:tcBorders>
              <w:top w:val="single" w:sz="8" w:space="0" w:color="auto"/>
              <w:left w:val="single" w:sz="8" w:space="0" w:color="auto"/>
              <w:bottom w:val="nil"/>
              <w:right w:val="single" w:sz="8" w:space="0" w:color="auto"/>
            </w:tcBorders>
            <w:shd w:val="clear" w:color="000000" w:fill="00B0F0"/>
            <w:vAlign w:val="center"/>
            <w:hideMark/>
          </w:tcPr>
          <w:p w:rsidR="00EE5531" w:rsidRPr="00A6645E" w:rsidRDefault="00EE5531" w:rsidP="00F5656A">
            <w:pPr>
              <w:widowControl/>
              <w:rPr>
                <w:rFonts w:ascii="Arial" w:eastAsia="Times New Roman" w:hAnsi="Arial" w:cs="Arial"/>
                <w:b/>
                <w:bCs/>
                <w:color w:val="FFFFFF"/>
                <w:sz w:val="20"/>
                <w:szCs w:val="20"/>
                <w:lang w:val="en-US" w:eastAsia="en-US" w:bidi="ar-SA"/>
              </w:rPr>
            </w:pPr>
            <w:r w:rsidRPr="00A6645E">
              <w:rPr>
                <w:rFonts w:ascii="Arial" w:eastAsia="Times New Roman" w:hAnsi="Arial" w:cs="Arial"/>
                <w:b/>
                <w:bCs/>
                <w:color w:val="FFFFFF" w:themeColor="background1"/>
                <w:sz w:val="20"/>
                <w:szCs w:val="18"/>
                <w:lang w:eastAsia="en-US" w:bidi="ar-SA"/>
              </w:rPr>
              <w:t>Section of the Prospectus (page)</w:t>
            </w:r>
          </w:p>
        </w:tc>
      </w:tr>
      <w:tr w:rsidR="00EE5531" w:rsidRPr="00A6645E" w:rsidTr="00F5656A">
        <w:trPr>
          <w:gridAfter w:val="1"/>
          <w:trHeight w:val="20"/>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1. INFORMATION ABOUT THE ISSUER</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1.1</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General information</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val="ru-RU"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General information about the Issuer including:</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the full legal name of the Issuer;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if different to the legal name, the full commercial name of the Issuer;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the legal form of the Issuer;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(d) the country of incorporation of the Issuer and its incorporation number;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(e) if domiciled in a jurisdiction outside the country of incorporation, the legislation under which the Issuer operates;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(f) if registered in a place other than the country of incorporation, the place of registration of the Issuer and its registration number;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(g) the date of incorporation and registration and the length of time the Issuer has remained incorporated or registered (or both) as is relevant. Where the Issuer has a fixed life, this must be stated together with the end date; and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(h) the address and telephone number of its registered office (and its principal place of business if different from its registered office); and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 if the Securities are asset backed Securities, a statement whether the Issuer has been established as a special purpose vehicle or entity for the purpose of issuing asset backed Securities.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2. OPERATIONAL FINANCIAL OVERVIEW</w:t>
            </w:r>
          </w:p>
        </w:tc>
      </w:tr>
      <w:tr w:rsidR="00EE5531" w:rsidRPr="00A6645E" w:rsidTr="00F5656A">
        <w:trPr>
          <w:gridAfter w:val="1"/>
          <w:trHeight w:val="20"/>
        </w:trPr>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2.1</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Actual and proposed business activities</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val="restart"/>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detailed description of the actual and proposed principal operations of the Issuer including:</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val="en-US" w:eastAsia="en-US" w:bidi="ar-SA"/>
              </w:rPr>
              <w:t> </w:t>
            </w:r>
          </w:p>
        </w:tc>
        <w:tc>
          <w:tcPr>
            <w:tcW w:w="0" w:type="auto"/>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single" w:sz="8" w:space="0" w:color="auto"/>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a description of the principal activities and business of the Issuer;</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2.2</w:t>
            </w: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Significant factors affecting income/operations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Information regarding significant factors, including unusual or infrequent events or new developments, which are materially affecting or may likely to so affect the Issuer’s income from operations, indicating the extent to which income was so affected.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Where the financial statements disclose material changes in net sales or revenues, a narrative discussion of the reasons for such changes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Information regarding any governmental, economic, fiscal, monetary or political policies or factors that have materially affected, or could materially affect, directly or indirectly, the Issuer's operations.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2.3</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Risk factors</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Prominent disclosure of risk factors that are specific to the Issuer and if relevant, its industry in a section headed "Risk Factors" containing information including:</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(a) the material risks associated with investing in the Issuer, and where applicable, any risks associated with the assets to be acquired using the proceeds of the offer;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the effect that the material risks may have on the Issuer together with a discussion of how the risk could affect the business, operating results and financial condition of the Issuer;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any steps proposed by the Issuer to mitigate or manage the risks; and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(d) general and specific risks relating to the industry and the jurisdiction in which the Issuer operates.</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*not exceeding 15 risk factors (for REMS Shares)</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val="restart"/>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3.2</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Group Structure</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If the Issuer is a member of a Group, information about the Issuer's Group including:</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identity of the material entities of the Issuer’s of the Group;</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a brief description of the Group explaining the Issuer's position within the Group;</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the identity of the ultimate Holding Company of the Issuer and where it is domiciled; and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(d) a list of significant Subsidiaries of the Issuer, including name, country of incorporation or domicile, proportion of ownership interest and, if different, proportion of voting power or other form of control held.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4. ASSETS</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4.1</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Property, plant and equipment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lang w:val="en-US" w:eastAsia="en-US" w:bidi="ar-SA"/>
              </w:rPr>
            </w:pPr>
            <w:r w:rsidRPr="00A6645E">
              <w:rPr>
                <w:rFonts w:ascii="Wingdings" w:eastAsia="Times New Roman" w:hAnsi="Wingdings" w:cs="Calibri"/>
                <w:b/>
                <w:bCs/>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Information about: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existing material fixed assets, including any leased properties, and any major encumbrances in respect of such assets;</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planned acquisition of material fixed assets, including leased properties, and any major encumbrances in respect to those assets; and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a description of any environmental issues that may affect the Issuer's utilisation of the assets referred to in (a) and (b).</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5. CAPITAL</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5.1</w:t>
            </w: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Capital resources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 xml:space="preserve">(a) Information about the capital resources of the Issuer including: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 xml:space="preserve">(i) the short and long term capital resources;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 xml:space="preserve">(ii) an explanation of, the sources and amounts of, and a narrative description of, the cash flows;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 xml:space="preserve">(iii) the borrowing requirements and funding structure;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(iv) any restrictions on the use of capital resources that have materially affected, or could materially affect, directly or indirectly, its operations;</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 xml:space="preserve">(b) Information regarding the anticipated sources of funds needed to fulfil commitments relating to: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 xml:space="preserve">(i) any existing or planned material tangible fixed assets, including leased properties, and any major encumbrances thereon; and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(ii) any principal future investments to which the Board or the senior management of the Issuer have already made firm commitments.</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sz w:val="20"/>
                <w:szCs w:val="18"/>
                <w:lang w:eastAsia="en-US" w:bidi="ar-SA"/>
              </w:rPr>
              <w:t>5.4</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Options</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If any options or other rights granted in respect of Shares in the Issuer to any Person, a summary of the total of any such options, along with an estimate of the number of Shares which would be created, if such rights were to be exercised.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6. MANAGEMENT OF THE ISSUER</w:t>
            </w:r>
          </w:p>
        </w:tc>
      </w:tr>
      <w:tr w:rsidR="00EE5531" w:rsidRPr="00A6645E" w:rsidTr="00F5656A">
        <w:trPr>
          <w:gridAfter w:val="1"/>
          <w:trHeight w:val="20"/>
        </w:trPr>
        <w:tc>
          <w:tcPr>
            <w:tcW w:w="0" w:type="auto"/>
            <w:vMerge w:val="restart"/>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6.1</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Details relating to directors and senior managers ("Key Persons")</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names, business addresses, functions and principal activities carried out by the following Persons (“Key Persons”), including outside that of the Issuer where such functions are significant with respect to the activities of the Issuer:</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the Directors of the Issuer;</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the Directors of the ultimate Holding Company of the Issuer, if any;</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the members of the senior management (senior managers) of the Issuer and, if they are also Directors of the Issuer, their respective responsibilities as Directors and as a member of the senior management of the Issuer;</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(iv)</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founding members, if the Issuer has been established for fewer than five years;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(v)</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any senior manager who is relevant to establishing that the Issuer has the appropriate expertise and experience for the management of the Issuer's business.</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reference to a Director in the case of a Limited Partnership should be read as a reference to a General Partner of the partnership.)</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The nature of any family or business relationship between any of the Key Persons.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Except for the category of Person in item (a)(iv) above, details of each of the Key Person's relevant management expertise and experience and the following information:</w:t>
            </w:r>
          </w:p>
        </w:tc>
        <w:tc>
          <w:tcPr>
            <w:tcW w:w="0" w:type="auto"/>
            <w:tcBorders>
              <w:top w:val="nil"/>
              <w:left w:val="nil"/>
              <w:bottom w:val="nil"/>
              <w:right w:val="nil"/>
            </w:tcBorders>
            <w:noWrap/>
            <w:vAlign w:val="bottom"/>
            <w:hideMark/>
          </w:tcPr>
          <w:p w:rsidR="00EE5531" w:rsidRPr="00A6645E" w:rsidRDefault="00EE5531" w:rsidP="00F5656A">
            <w:pPr>
              <w:widowControl/>
              <w:jc w:val="both"/>
              <w:rPr>
                <w:rFonts w:ascii="Arial" w:eastAsia="Times New Roman" w:hAnsi="Arial" w:cs="Arial"/>
                <w:sz w:val="20"/>
                <w:szCs w:val="20"/>
                <w:lang w:val="en-US" w:eastAsia="en-US" w:bidi="ar-SA"/>
              </w:rPr>
            </w:pP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eastAsia="en-US" w:bidi="ar-SA"/>
              </w:rPr>
              <w:t>(i) the names of all companies and partnerships in which such Person has been a member of a Board or involved in the senior management of in the previous five years, indicating whether or not the Person still holds such position. It is not necessary to list all the Subsidiaries of an Issuer of which the Person is also a member of the Board or involved in the senior management;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Times New Roman" w:cs="Calibri"/>
                <w:b/>
                <w:bCs/>
                <w:sz w:val="20"/>
                <w:szCs w:val="20"/>
                <w:lang w:val="en-US" w:eastAsia="en-US" w:bidi="ar-SA"/>
              </w:rPr>
              <w:t>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lang w:val="en-US" w:eastAsia="en-US" w:bidi="ar-SA"/>
              </w:rPr>
              <w:t>(ii) any convictions relating to fraud or other financial crimes for at least the previous five years;</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sz w:val="20"/>
                <w:szCs w:val="20"/>
                <w:bdr w:val="none" w:sz="0" w:space="0" w:color="auto" w:frame="1"/>
                <w:lang w:eastAsia="en-US" w:bidi="ar-SA"/>
              </w:rPr>
              <w:t>(iii) details of any bankruptcies, receiverships or liquidations of another entity with which a Person described in item (a)(iii) and (vi) was associated with for at least the previous five years when acting in a similar capacity;</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(iv) details of any official public incrimination and/or sanctions of such a Person by statutory or regulatory authorities (including designated professional bodies) and whether such a Person has ever been disqualified by a court from acting as a Director or from acting in the senior management of, or conduct the affairs of, any Issuer for at least the previous five years; and</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(v) if there is no such information to be disclosed pursuant to (i) - (iv), a statement to that effect.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Times New Roman" w:cs="Calibri"/>
                <w:b/>
                <w:bCs/>
                <w:sz w:val="20"/>
                <w:szCs w:val="20"/>
                <w:lang w:val="en-US" w:eastAsia="en-US" w:bidi="ar-SA"/>
              </w:rPr>
              <w:t>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(e) Information about any arrangement or understanding with major shareholders, customers, suppliers or others, pursuant to which any Key Person was selected as a Director or senior manager of the Issuer.</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(f) Details relating to any restrictions agreed by a Key Person on the disposal within a certain period of time of his holdings in the Issuer's Securities.</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gridSpan w:val="4"/>
            <w:tcBorders>
              <w:top w:val="nil"/>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7. FINANCIAL INFORMATION ABOUT THE ISSUER</w:t>
            </w:r>
          </w:p>
        </w:tc>
      </w:tr>
      <w:tr w:rsidR="00EE5531" w:rsidRPr="00A6645E" w:rsidTr="00F5656A">
        <w:trPr>
          <w:gridAfter w:val="1"/>
          <w:trHeight w:val="20"/>
        </w:trPr>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7.1</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Historical financial information about the Issuer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 xml:space="preserve">(a.1) Historical financial information covering </w:t>
            </w:r>
            <w:r w:rsidRPr="00A6645E">
              <w:rPr>
                <w:rFonts w:ascii="Arial" w:eastAsia="Times New Roman" w:hAnsi="Arial" w:cs="Arial"/>
                <w:color w:val="auto"/>
                <w:sz w:val="20"/>
                <w:szCs w:val="18"/>
                <w:lang w:eastAsia="en-US" w:bidi="ar-SA"/>
              </w:rPr>
              <w:br/>
              <w:t xml:space="preserve">the latest 1 financial year where such </w:t>
            </w:r>
            <w:r w:rsidRPr="00A6645E">
              <w:rPr>
                <w:rFonts w:ascii="Arial" w:eastAsia="Times New Roman" w:hAnsi="Arial" w:cs="Arial"/>
                <w:color w:val="auto"/>
                <w:sz w:val="20"/>
                <w:szCs w:val="18"/>
                <w:lang w:eastAsia="en-US" w:bidi="ar-SA"/>
              </w:rPr>
              <w:br/>
              <w:t>information is:</w:t>
            </w:r>
            <w:r w:rsidRPr="00A6645E">
              <w:rPr>
                <w:rFonts w:ascii="Arial" w:eastAsia="Times New Roman" w:hAnsi="Arial" w:cs="Arial"/>
                <w:color w:val="auto"/>
                <w:sz w:val="20"/>
                <w:szCs w:val="18"/>
                <w:lang w:eastAsia="en-US" w:bidi="ar-SA"/>
              </w:rPr>
              <w:br/>
            </w:r>
            <w:r w:rsidRPr="00A6645E">
              <w:rPr>
                <w:rFonts w:ascii="Arial" w:eastAsia="Times New Roman" w:hAnsi="Arial" w:cs="Arial"/>
                <w:color w:val="auto"/>
                <w:sz w:val="20"/>
                <w:szCs w:val="18"/>
                <w:lang w:eastAsia="en-US" w:bidi="ar-SA"/>
              </w:rPr>
              <w:br/>
              <w:t xml:space="preserve">(i) prepared in accordance with the </w:t>
            </w:r>
            <w:r w:rsidRPr="00A6645E">
              <w:rPr>
                <w:rFonts w:ascii="Arial" w:eastAsia="Times New Roman" w:hAnsi="Arial" w:cs="Arial"/>
                <w:color w:val="auto"/>
                <w:sz w:val="20"/>
                <w:szCs w:val="18"/>
                <w:lang w:eastAsia="en-US" w:bidi="ar-SA"/>
              </w:rPr>
              <w:br/>
              <w:t xml:space="preserve">International Financial Reporting </w:t>
            </w:r>
            <w:r w:rsidRPr="00A6645E">
              <w:rPr>
                <w:rFonts w:ascii="Arial" w:eastAsia="Times New Roman" w:hAnsi="Arial" w:cs="Arial"/>
                <w:color w:val="auto"/>
                <w:sz w:val="20"/>
                <w:szCs w:val="18"/>
                <w:lang w:eastAsia="en-US" w:bidi="ar-SA"/>
              </w:rPr>
              <w:br/>
              <w:t xml:space="preserve">Standards (IFRS) or any other standards </w:t>
            </w:r>
            <w:r w:rsidRPr="00A6645E">
              <w:rPr>
                <w:rFonts w:ascii="Arial" w:eastAsia="Times New Roman" w:hAnsi="Arial" w:cs="Arial"/>
                <w:color w:val="auto"/>
                <w:sz w:val="20"/>
                <w:szCs w:val="18"/>
                <w:lang w:eastAsia="en-US" w:bidi="ar-SA"/>
              </w:rPr>
              <w:br/>
              <w:t>acceptable to the AFSA;</w:t>
            </w:r>
            <w:r w:rsidRPr="00A6645E">
              <w:rPr>
                <w:rFonts w:ascii="Arial" w:eastAsia="Times New Roman" w:hAnsi="Arial" w:cs="Arial"/>
                <w:color w:val="auto"/>
                <w:sz w:val="20"/>
                <w:szCs w:val="18"/>
                <w:lang w:eastAsia="en-US" w:bidi="ar-SA"/>
              </w:rPr>
              <w:br/>
              <w:t xml:space="preserve">(ii) audited in accordance with the </w:t>
            </w:r>
            <w:r w:rsidRPr="00A6645E">
              <w:rPr>
                <w:rFonts w:ascii="Arial" w:eastAsia="Times New Roman" w:hAnsi="Arial" w:cs="Arial"/>
                <w:color w:val="auto"/>
                <w:sz w:val="20"/>
                <w:szCs w:val="18"/>
                <w:lang w:eastAsia="en-US" w:bidi="ar-SA"/>
              </w:rPr>
              <w:br/>
              <w:t xml:space="preserve">standards of the International Auditing and </w:t>
            </w:r>
            <w:r w:rsidRPr="00A6645E">
              <w:rPr>
                <w:rFonts w:ascii="Arial" w:eastAsia="Times New Roman" w:hAnsi="Arial" w:cs="Arial"/>
                <w:color w:val="auto"/>
                <w:sz w:val="20"/>
                <w:szCs w:val="18"/>
                <w:lang w:eastAsia="en-US" w:bidi="ar-SA"/>
              </w:rPr>
              <w:br/>
              <w:t xml:space="preserve">Assurance Standards Board (IAASB) or other </w:t>
            </w:r>
            <w:r w:rsidRPr="00A6645E">
              <w:rPr>
                <w:rFonts w:ascii="Arial" w:eastAsia="Times New Roman" w:hAnsi="Arial" w:cs="Arial"/>
                <w:color w:val="auto"/>
                <w:sz w:val="20"/>
                <w:szCs w:val="18"/>
                <w:lang w:eastAsia="en-US" w:bidi="ar-SA"/>
              </w:rPr>
              <w:br/>
              <w:t>standards acceptable to the AFSA; and</w:t>
            </w:r>
            <w:r w:rsidRPr="00A6645E">
              <w:rPr>
                <w:rFonts w:ascii="Arial" w:eastAsia="Times New Roman" w:hAnsi="Arial" w:cs="Arial"/>
                <w:color w:val="auto"/>
                <w:sz w:val="20"/>
                <w:szCs w:val="18"/>
                <w:lang w:eastAsia="en-US" w:bidi="ar-SA"/>
              </w:rPr>
              <w:br/>
            </w:r>
            <w:r w:rsidRPr="00A6645E">
              <w:rPr>
                <w:rFonts w:ascii="Arial" w:eastAsia="Times New Roman" w:hAnsi="Arial" w:cs="Arial"/>
                <w:color w:val="auto"/>
                <w:sz w:val="20"/>
                <w:szCs w:val="18"/>
                <w:lang w:eastAsia="en-US" w:bidi="ar-SA"/>
              </w:rPr>
              <w:br/>
              <w:t xml:space="preserve"> </w:t>
            </w:r>
            <w:r w:rsidRPr="00A6645E">
              <w:rPr>
                <w:rFonts w:ascii="Arial" w:eastAsia="Times New Roman" w:hAnsi="Arial" w:cs="Arial"/>
                <w:color w:val="auto"/>
                <w:sz w:val="20"/>
                <w:szCs w:val="18"/>
                <w:lang w:eastAsia="en-US" w:bidi="ar-SA"/>
              </w:rPr>
              <w:br/>
              <w:t xml:space="preserve">(iii) independently audited or reported </w:t>
            </w:r>
            <w:r w:rsidRPr="00A6645E">
              <w:rPr>
                <w:rFonts w:ascii="Arial" w:eastAsia="Times New Roman" w:hAnsi="Arial" w:cs="Arial"/>
                <w:color w:val="auto"/>
                <w:sz w:val="20"/>
                <w:szCs w:val="18"/>
                <w:lang w:eastAsia="en-US" w:bidi="ar-SA"/>
              </w:rPr>
              <w:br/>
              <w:t xml:space="preserve">on as to whether or not, for the purposes of </w:t>
            </w:r>
            <w:r w:rsidRPr="00A6645E">
              <w:rPr>
                <w:rFonts w:ascii="Arial" w:eastAsia="Times New Roman" w:hAnsi="Arial" w:cs="Arial"/>
                <w:color w:val="auto"/>
                <w:sz w:val="20"/>
                <w:szCs w:val="18"/>
                <w:lang w:eastAsia="en-US" w:bidi="ar-SA"/>
              </w:rPr>
              <w:br/>
              <w:t xml:space="preserve">the Registration Document, it gives a true </w:t>
            </w:r>
            <w:r w:rsidRPr="00A6645E">
              <w:rPr>
                <w:rFonts w:ascii="Arial" w:eastAsia="Times New Roman" w:hAnsi="Arial" w:cs="Arial"/>
                <w:color w:val="auto"/>
                <w:sz w:val="20"/>
                <w:szCs w:val="18"/>
                <w:lang w:eastAsia="en-US" w:bidi="ar-SA"/>
              </w:rPr>
              <w:br/>
              <w:t xml:space="preserve">and fair view, in accordance with the </w:t>
            </w:r>
            <w:r w:rsidRPr="00A6645E">
              <w:rPr>
                <w:rFonts w:ascii="Arial" w:eastAsia="Times New Roman" w:hAnsi="Arial" w:cs="Arial"/>
                <w:color w:val="auto"/>
                <w:sz w:val="20"/>
                <w:szCs w:val="18"/>
                <w:lang w:eastAsia="en-US" w:bidi="ar-SA"/>
              </w:rPr>
              <w:br/>
              <w:t xml:space="preserve">applicable auditing standards referred to in </w:t>
            </w:r>
            <w:r w:rsidRPr="00A6645E">
              <w:rPr>
                <w:rFonts w:ascii="Arial" w:eastAsia="Times New Roman" w:hAnsi="Arial" w:cs="Arial"/>
                <w:color w:val="auto"/>
                <w:sz w:val="20"/>
                <w:szCs w:val="18"/>
                <w:lang w:eastAsia="en-US" w:bidi="ar-SA"/>
              </w:rPr>
              <w:br/>
              <w:t>(ii) above; and</w:t>
            </w:r>
            <w:r w:rsidRPr="00A6645E">
              <w:rPr>
                <w:rFonts w:ascii="Arial" w:eastAsia="Times New Roman" w:hAnsi="Arial" w:cs="Arial"/>
                <w:color w:val="auto"/>
                <w:sz w:val="20"/>
                <w:szCs w:val="18"/>
                <w:lang w:eastAsia="en-US" w:bidi="ar-SA"/>
              </w:rPr>
              <w:b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val="en-US"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 xml:space="preserve">(i) prepared in accordance with the International Financial Reporting Standards (IFRS) or any other standards acceptable to the AFSA;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 xml:space="preserve">(ii) audited in accordance with the standards of the International Auditing and Assurance Standards Board (IAASB) or other standards acceptable to the AFSA; and </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(iii) independently audited or reported on as to whether or not, for the purposes of the Registration Document, it gives a true and fair view, in accordance with the applicable auditing standards referred to in (ii) above;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(c)</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In respect of the last year of audited financial information included, such information not being older than one of the following:</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18 months from the date of the Registration Document if the Issuer includes audited interim financial statements in the Registration Document; or</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15 months from the date of the Registration Document if the Issuer includes unaudited interim financial statements in the Registration Document.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(d) A statement that the historical financial information has been audited.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(e) If the audit reports on the historical financial information have been refused by the auditors or if they contain qualifications or disclaimers, reproduction of such refusal, qualifications or disclaimers in full and the reasons given.</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(f) If any other information in the Registration Document has been audited by the auditors, a statement to that effect.</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(g)</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If any financial data in the Registration Document is not extracted from the Issuer's audited financial statements, statements as to the source of the data and that the data is unaudited.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(h)</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If since the date of the Issuer's last audited financial statements quarterly or half yearly financial information has been published, such statements including:</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if the quarterly or half yearly financial information has been reviewed or audited, the audit or review report; or</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if the quarterly or half yearly financial information is unaudited or has not been reviewed, a statement to that effect.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If the Registration Document is dated more than nine months after the end of the last audited financial year, interim financial information:</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covering at least the first six months of the financial year;</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including comparative statements for the same period in the prior financial year (except that the requirement for comparative balance sheet information may be satisfied by presenting the years end balance sheet);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if unaudited, a statement to that effect.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(j) If the Issuer prepares both own and consolidated annual financial statements, at least the consolidated annual financial statements.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(k) A description of any significant change in the financial or trading position of the group which has occurred since the end of the last financial period for which either audited financial information or interim financial information have been published, or an appropriate negative statement.</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7.2</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Profit forecasts</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If an Issuer chooses to include a profit forecast or a profit estimate in the Registration Document: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(a)</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information about the principal assumptions upon which the Issuer has based its forecast or estimate:</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in a manner readily understandable by investors and prepared on a basis comparable with the historical financial information;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showing a clear distinction between assumptions about factors which the Board or senior management of the Issuer can influence and assumptions about factors which are exclusively outside the influence of such Persons;</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a report prepared by independent accountants or auditors stating that in the opinion of the independent accountants or auditors, the forecast or estimate has been properly compiled on the basis stated and that the basis of accounting used for the profit forecast or estimate is consistent with the accounting policies of the Issuer; and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If a profit forecast in a Prospectus has been previously published, a statement setting out whether or not that forecast is still correct as at the time of the Registration Document or if the forecast is no longer valid, an explanation of why that is the case.</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color w:val="auto"/>
                <w:sz w:val="20"/>
                <w:szCs w:val="20"/>
                <w:lang w:val="en-US" w:eastAsia="en-US" w:bidi="ar-SA"/>
              </w:rPr>
            </w:pPr>
            <w:r w:rsidRPr="00A6645E">
              <w:rPr>
                <w:rFonts w:ascii="Arial" w:eastAsia="Times New Roman" w:hAnsi="Arial" w:cs="Arial"/>
                <w:b/>
                <w:bCs/>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8. OTHER INFORMATION RELATING TO THE ISSUER</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8.5</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Legal and other proceedings against the Issuer</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val="ru-RU"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Information on any current or prior governmental, legal or arbitration proceedings or disputes (including any such proceedings which are pending or threatened of which the Issuer is aware), which may have, or have had, covering at least the previous 12 months significant impact on the Issuer and/or its Group's financial position or profitability, or if there were no such actions, a statement to that effect.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9. RESPONSIBILITY FOR THE CONTENT OF PROSPECTUS</w:t>
            </w:r>
          </w:p>
        </w:tc>
      </w:tr>
      <w:tr w:rsidR="00EE5531" w:rsidRPr="00A6645E"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9.1</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Responsibility Statement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Responsibility Statement that:</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the Prospectus complies with the requirements in Section 69 of the Framework Regulations and Part 1 of MAR;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sets out the details of the Persons responsible for the Prospectus pursuant to MAR 1.9, and in particular:</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where a Person responsible is a natural person, indicates the name and function of that Person;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(ii)</w:t>
            </w:r>
            <w:r w:rsidRPr="00A6645E">
              <w:rPr>
                <w:rFonts w:ascii="Times New Roman" w:eastAsia="Times New Roman" w:hAnsi="Times New Roman" w:cs="Times New Roman"/>
                <w:color w:val="auto"/>
                <w:sz w:val="14"/>
                <w:szCs w:val="14"/>
                <w:lang w:eastAsia="en-US" w:bidi="ar-SA"/>
              </w:rPr>
              <w:t xml:space="preserve"> </w:t>
            </w:r>
            <w:r w:rsidRPr="00A6645E">
              <w:rPr>
                <w:rFonts w:ascii="Arial" w:eastAsia="Times New Roman" w:hAnsi="Arial" w:cs="Arial"/>
                <w:sz w:val="20"/>
                <w:szCs w:val="20"/>
                <w:lang w:eastAsia="en-US" w:bidi="ar-SA"/>
              </w:rPr>
              <w:t>where a Person responsible is a Body Corporate or other legal person, indicates the name and registered office of that Person;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includes a declaration, from each Person responsible for the Prospectus, or for certain parts of it, pursuant to MAR 1.9, that having taken all reasonable care to ensure that such is the case, the information contained in the Prospectus is, to the best of their knowledge, in accordance with the facts and contains no omission likely to affect its import.</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9.2</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Expert opinions included in a prospectus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r>
      <w:tr w:rsidR="00EE5531" w:rsidRPr="00A6645E" w:rsidTr="00F5656A">
        <w:trPr>
          <w:gridAfter w:val="1"/>
          <w:trHeight w:val="20"/>
        </w:trPr>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If any Expert's opinion, statement or report ("report") is included in the Prospectus: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 the name, business address and professional qualifications of the Expert responsible for the report and the date on which the Expert report was made or produced;</w:t>
            </w:r>
          </w:p>
        </w:tc>
        <w:tc>
          <w:tcPr>
            <w:tcW w:w="0" w:type="auto"/>
            <w:tcBorders>
              <w:top w:val="nil"/>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20"/>
        </w:trPr>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(ii) the name, business address and professional qualifications of the Expert responsible for the report and the date on which the Expert report was made or produced;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gridAfter w:val="1"/>
          <w:trHeight w:val="47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(iii) if the report has been produced at the Issuer's request, a statement to that effect and that the report is included, in the form and context in which it is included, with the consent of the Expert.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color w:val="1F497D"/>
                <w:sz w:val="20"/>
                <w:szCs w:val="20"/>
                <w:lang w:val="en-US" w:eastAsia="en-US" w:bidi="ar-SA"/>
              </w:rPr>
            </w:pPr>
            <w:r w:rsidRPr="00A6645E">
              <w:rPr>
                <w:rFonts w:ascii="Wingdings" w:eastAsia="Wingdings" w:hAnsi="Wingdings" w:cs="Wingdings"/>
                <w:b/>
                <w:bCs/>
                <w:color w:val="1F497D"/>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r>
      <w:tr w:rsidR="00EE5531" w:rsidRPr="00A6645E"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sz w:val="20"/>
                <w:szCs w:val="20"/>
                <w:lang w:val="en-US" w:eastAsia="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color w:val="1F497D"/>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noWrap/>
            <w:vAlign w:val="bottom"/>
            <w:hideMark/>
          </w:tcPr>
          <w:p w:rsidR="00EE5531" w:rsidRPr="00A6645E" w:rsidRDefault="00EE5531" w:rsidP="00F5656A">
            <w:pPr>
              <w:widowControl/>
              <w:rPr>
                <w:rFonts w:ascii="Arial" w:eastAsia="Times New Roman" w:hAnsi="Arial" w:cs="Arial"/>
                <w:color w:val="auto"/>
                <w:sz w:val="20"/>
                <w:szCs w:val="20"/>
                <w:lang w:val="en-US" w:eastAsia="en-US" w:bidi="ar-SA"/>
              </w:rPr>
            </w:pPr>
          </w:p>
        </w:tc>
      </w:tr>
      <w:tr w:rsidR="00EE5531" w:rsidRPr="00A6645E" w:rsidTr="00F5656A">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sz w:val="20"/>
                <w:szCs w:val="18"/>
                <w:lang w:eastAsia="en-US" w:bidi="ar-SA"/>
              </w:rPr>
              <w:t>9.4</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Special categories of companies</w:t>
            </w:r>
          </w:p>
        </w:tc>
        <w:tc>
          <w:tcPr>
            <w:tcW w:w="0" w:type="auto"/>
            <w:tcBorders>
              <w:top w:val="nil"/>
              <w:left w:val="single" w:sz="8" w:space="0" w:color="auto"/>
              <w:bottom w:val="nil"/>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nil"/>
              <w:bottom w:val="nil"/>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(a.1) If the Issuer is a mineral or petroleum company, a report by an Expert on the status of exploration, development and production, and assessments of reserves and resources of the Issuer’s projects, prepared at a date which shall be no later than 6 (six) months before the date of the Prospectus or older as may be reasonably determined by Authorised Investment Exchange.</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20"/>
                <w:lang w:eastAsia="en-US" w:bidi="ar-SA"/>
              </w:rPr>
              <w:t> </w:t>
            </w: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10.1</w:t>
            </w:r>
          </w:p>
        </w:tc>
        <w:tc>
          <w:tcPr>
            <w:tcW w:w="0" w:type="auto"/>
            <w:tcBorders>
              <w:top w:val="single" w:sz="8" w:space="0" w:color="auto"/>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Documents for inspection</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statement that the following documents, in original or copy form, where applicable, may be inspected: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(a) the constitution of the Issuer;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(b) the historical financial information of the Issuer; and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(c) any information produced by an expert at the Issuer's request, any part of which is included or referred to in the Registration Document.</w:t>
            </w:r>
          </w:p>
        </w:tc>
        <w:tc>
          <w:tcPr>
            <w:tcW w:w="0" w:type="auto"/>
            <w:tcBorders>
              <w:top w:val="nil"/>
              <w:left w:val="single" w:sz="8" w:space="0" w:color="auto"/>
              <w:bottom w:val="single" w:sz="8" w:space="0" w:color="auto"/>
              <w:right w:val="nil"/>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jc w:val="right"/>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10.2</w:t>
            </w:r>
          </w:p>
        </w:tc>
        <w:tc>
          <w:tcPr>
            <w:tcW w:w="0" w:type="auto"/>
            <w:tcBorders>
              <w:top w:val="nil"/>
              <w:left w:val="nil"/>
              <w:bottom w:val="nil"/>
              <w:right w:val="nil"/>
            </w:tcBorders>
            <w:shd w:val="clear" w:color="000000" w:fill="FFFFFF"/>
            <w:vAlign w:val="center"/>
            <w:hideMark/>
          </w:tcPr>
          <w:p w:rsidR="00EE5531" w:rsidRPr="00A6645E" w:rsidRDefault="00EE5531" w:rsidP="00F5656A">
            <w:pPr>
              <w:widowControl/>
              <w:jc w:val="both"/>
              <w:rPr>
                <w:rFonts w:ascii="Arial" w:eastAsia="Times New Roman" w:hAnsi="Arial" w:cs="Arial"/>
                <w:b/>
                <w:bCs/>
                <w:sz w:val="20"/>
                <w:szCs w:val="20"/>
                <w:lang w:val="en-US" w:eastAsia="en-US" w:bidi="ar-SA"/>
              </w:rPr>
            </w:pPr>
            <w:r w:rsidRPr="00A6645E">
              <w:rPr>
                <w:rFonts w:ascii="Arial" w:eastAsia="Times New Roman" w:hAnsi="Arial" w:cs="Arial"/>
                <w:b/>
                <w:bCs/>
                <w:color w:val="auto"/>
                <w:sz w:val="20"/>
                <w:szCs w:val="18"/>
                <w:lang w:eastAsia="en-US" w:bidi="ar-SA"/>
              </w:rPr>
              <w:t>Details</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r w:rsidRPr="00A6645E">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r w:rsidRPr="00A6645E">
              <w:rPr>
                <w:rFonts w:ascii="Arial" w:eastAsia="Times New Roman" w:hAnsi="Arial" w:cs="Arial"/>
                <w:color w:val="auto"/>
                <w:sz w:val="20"/>
                <w:szCs w:val="18"/>
                <w:lang w:eastAsia="en-US" w:bidi="ar-SA"/>
              </w:rPr>
              <w:t> </w:t>
            </w: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A6645E"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A6645E" w:rsidRDefault="00EE5531" w:rsidP="00F5656A">
            <w:pPr>
              <w:widowControl/>
              <w:jc w:val="both"/>
              <w:rPr>
                <w:rFonts w:ascii="Arial" w:eastAsia="Times New Roman" w:hAnsi="Arial" w:cs="Arial"/>
                <w:sz w:val="20"/>
                <w:szCs w:val="20"/>
                <w:lang w:val="en-US" w:eastAsia="en-US" w:bidi="ar-SA"/>
              </w:rPr>
            </w:pPr>
            <w:r w:rsidRPr="00A6645E">
              <w:rPr>
                <w:rFonts w:ascii="Arial" w:eastAsia="Times New Roman" w:hAnsi="Arial" w:cs="Arial"/>
                <w:color w:val="auto"/>
                <w:sz w:val="20"/>
                <w:szCs w:val="18"/>
                <w:lang w:eastAsia="en-US" w:bidi="ar-SA"/>
              </w:rPr>
              <w:t>The details of how the documents referred to in 10.1 may be inspected.</w:t>
            </w: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A6645E"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A6645E" w:rsidRDefault="00EE5531" w:rsidP="00F5656A">
            <w:pPr>
              <w:widowControl/>
              <w:rPr>
                <w:rFonts w:ascii="Times New Roman" w:eastAsia="Times New Roman" w:hAnsi="Times New Roman" w:cs="Times New Roman"/>
                <w:color w:val="auto"/>
                <w:sz w:val="20"/>
                <w:szCs w:val="20"/>
                <w:lang w:val="en-US" w:eastAsia="en-US" w:bidi="ar-SA"/>
              </w:rPr>
            </w:pPr>
          </w:p>
        </w:tc>
      </w:tr>
    </w:tbl>
    <w:p w:rsidR="00EE5531" w:rsidRPr="00A6645E" w:rsidRDefault="00EE5531" w:rsidP="00EE5531">
      <w:pPr>
        <w:spacing w:before="180" w:after="180"/>
        <w:rPr>
          <w:rFonts w:ascii="Arial" w:hAnsi="Arial" w:cs="Arial"/>
          <w:color w:val="auto"/>
          <w:sz w:val="20"/>
          <w:szCs w:val="18"/>
          <w:lang w:val="en-US"/>
        </w:rPr>
        <w:sectPr w:rsidR="00EE5531" w:rsidRPr="00A6645E" w:rsidSect="00EE5531">
          <w:headerReference w:type="even" r:id="rId7"/>
          <w:headerReference w:type="default" r:id="rId8"/>
          <w:footerReference w:type="even" r:id="rId9"/>
          <w:footerReference w:type="default" r:id="rId10"/>
          <w:headerReference w:type="first" r:id="rId11"/>
          <w:footerReference w:type="first" r:id="rId12"/>
          <w:pgSz w:w="11900" w:h="16840"/>
          <w:pgMar w:top="846" w:right="846" w:bottom="1052" w:left="1410" w:header="0" w:footer="3" w:gutter="0"/>
          <w:cols w:space="720"/>
          <w:noEndnote/>
          <w:docGrid w:linePitch="360"/>
        </w:sectPr>
      </w:pPr>
    </w:p>
    <w:p w:rsidR="00EE5531" w:rsidRPr="00DC5366" w:rsidRDefault="00EE5531" w:rsidP="00EE5531">
      <w:pPr>
        <w:pStyle w:val="Tablecaption0"/>
        <w:spacing w:before="180" w:after="180"/>
        <w:rPr>
          <w:color w:val="auto"/>
          <w:szCs w:val="18"/>
        </w:rPr>
      </w:pPr>
      <w:r w:rsidRPr="00DC5366">
        <w:rPr>
          <w:color w:val="auto"/>
          <w:szCs w:val="18"/>
        </w:rPr>
        <w:t>SCHEDULE 2: SECURITIES NOTE</w:t>
      </w:r>
    </w:p>
    <w:tbl>
      <w:tblPr>
        <w:tblW w:w="0" w:type="auto"/>
        <w:tblLook w:val="04A0" w:firstRow="1" w:lastRow="0" w:firstColumn="1" w:lastColumn="0" w:noHBand="0" w:noVBand="1"/>
      </w:tblPr>
      <w:tblGrid>
        <w:gridCol w:w="495"/>
        <w:gridCol w:w="6286"/>
        <w:gridCol w:w="997"/>
        <w:gridCol w:w="1488"/>
        <w:gridCol w:w="222"/>
      </w:tblGrid>
      <w:tr w:rsidR="00EE5531" w:rsidRPr="005A7DD0" w:rsidTr="00F5656A">
        <w:trPr>
          <w:gridAfter w:val="1"/>
          <w:cantSplit/>
          <w:trHeight w:val="20"/>
        </w:trPr>
        <w:tc>
          <w:tcPr>
            <w:tcW w:w="0" w:type="auto"/>
            <w:tcBorders>
              <w:top w:val="single" w:sz="8" w:space="0" w:color="auto"/>
              <w:left w:val="single" w:sz="8" w:space="0" w:color="auto"/>
              <w:bottom w:val="single" w:sz="8" w:space="0" w:color="auto"/>
              <w:right w:val="nil"/>
            </w:tcBorders>
            <w:shd w:val="clear" w:color="000000" w:fill="00B0F0"/>
            <w:vAlign w:val="center"/>
            <w:hideMark/>
          </w:tcPr>
          <w:p w:rsidR="00EE5531" w:rsidRPr="005A7DD0" w:rsidRDefault="00EE5531" w:rsidP="00F5656A">
            <w:pPr>
              <w:widowControl/>
              <w:rPr>
                <w:rFonts w:ascii="Arial" w:eastAsia="Times New Roman" w:hAnsi="Arial" w:cs="Arial"/>
                <w:color w:val="FFFFFF"/>
                <w:sz w:val="20"/>
                <w:szCs w:val="20"/>
                <w:lang w:val="en-US" w:eastAsia="en-US" w:bidi="ar-SA"/>
              </w:rPr>
            </w:pPr>
            <w:r w:rsidRPr="005A7DD0">
              <w:rPr>
                <w:rFonts w:ascii="Arial" w:eastAsia="Times New Roman" w:hAnsi="Arial" w:cs="Arial"/>
                <w:color w:val="FFFFFF"/>
                <w:sz w:val="20"/>
                <w:szCs w:val="20"/>
                <w:lang w:eastAsia="en-US" w:bidi="ar-SA"/>
              </w:rPr>
              <w:t> </w:t>
            </w:r>
          </w:p>
        </w:tc>
        <w:tc>
          <w:tcPr>
            <w:tcW w:w="0" w:type="auto"/>
            <w:tcBorders>
              <w:top w:val="single" w:sz="8" w:space="0" w:color="auto"/>
              <w:left w:val="single" w:sz="8" w:space="0" w:color="auto"/>
              <w:bottom w:val="single" w:sz="8" w:space="0" w:color="auto"/>
              <w:right w:val="nil"/>
            </w:tcBorders>
            <w:shd w:val="clear" w:color="000000" w:fill="00B0F0"/>
            <w:vAlign w:val="center"/>
            <w:hideMark/>
          </w:tcPr>
          <w:p w:rsidR="00EE5531" w:rsidRPr="005A7DD0" w:rsidRDefault="00EE5531" w:rsidP="00F5656A">
            <w:pPr>
              <w:widowControl/>
              <w:rPr>
                <w:rFonts w:ascii="Arial" w:eastAsia="Times New Roman" w:hAnsi="Arial" w:cs="Arial"/>
                <w:b/>
                <w:bCs/>
                <w:color w:val="FFFFFF"/>
                <w:sz w:val="20"/>
                <w:szCs w:val="20"/>
                <w:lang w:val="en-US" w:eastAsia="en-US" w:bidi="ar-SA"/>
              </w:rPr>
            </w:pPr>
            <w:r w:rsidRPr="005A7DD0">
              <w:rPr>
                <w:rFonts w:ascii="Arial" w:eastAsia="Times New Roman" w:hAnsi="Arial" w:cs="Arial"/>
                <w:b/>
                <w:bCs/>
                <w:color w:val="FFFFFF" w:themeColor="background1"/>
                <w:sz w:val="20"/>
                <w:szCs w:val="18"/>
                <w:lang w:eastAsia="en-US" w:bidi="ar-SA"/>
              </w:rPr>
              <w:t>CONTENTS OF PROSPECTUS — SECURITIES NOTE</w:t>
            </w:r>
          </w:p>
        </w:tc>
        <w:tc>
          <w:tcPr>
            <w:tcW w:w="0" w:type="auto"/>
            <w:tcBorders>
              <w:top w:val="single" w:sz="8" w:space="0" w:color="auto"/>
              <w:left w:val="single" w:sz="8" w:space="0" w:color="auto"/>
              <w:bottom w:val="single" w:sz="8" w:space="0" w:color="auto"/>
              <w:right w:val="nil"/>
            </w:tcBorders>
            <w:shd w:val="clear" w:color="000000" w:fill="00B0F0"/>
            <w:vAlign w:val="center"/>
            <w:hideMark/>
          </w:tcPr>
          <w:p w:rsidR="00EE5531" w:rsidRPr="005A7DD0" w:rsidRDefault="00EE5531" w:rsidP="00F5656A">
            <w:pPr>
              <w:widowControl/>
              <w:rPr>
                <w:rFonts w:ascii="Arial" w:eastAsia="Times New Roman" w:hAnsi="Arial" w:cs="Arial"/>
                <w:b/>
                <w:bCs/>
                <w:color w:val="FFFFFF"/>
                <w:sz w:val="20"/>
                <w:szCs w:val="20"/>
                <w:lang w:val="en-US" w:eastAsia="en-US" w:bidi="ar-SA"/>
              </w:rPr>
            </w:pPr>
            <w:r>
              <w:rPr>
                <w:rFonts w:ascii="Arial" w:eastAsia="Times New Roman" w:hAnsi="Arial" w:cs="Arial"/>
                <w:b/>
                <w:bCs/>
                <w:color w:val="FFFFFF" w:themeColor="background1"/>
                <w:sz w:val="20"/>
                <w:szCs w:val="18"/>
                <w:lang w:eastAsia="en-US" w:bidi="ar-SA"/>
              </w:rPr>
              <w:t xml:space="preserve">REMS </w:t>
            </w:r>
            <w:r w:rsidRPr="005A7DD0">
              <w:rPr>
                <w:rFonts w:ascii="Arial" w:eastAsia="Times New Roman" w:hAnsi="Arial" w:cs="Arial"/>
                <w:b/>
                <w:bCs/>
                <w:color w:val="FFFFFF" w:themeColor="background1"/>
                <w:sz w:val="20"/>
                <w:szCs w:val="18"/>
                <w:lang w:eastAsia="en-US" w:bidi="ar-SA"/>
              </w:rPr>
              <w:t>Shares</w:t>
            </w:r>
          </w:p>
        </w:tc>
        <w:tc>
          <w:tcPr>
            <w:tcW w:w="0" w:type="auto"/>
            <w:tcBorders>
              <w:top w:val="single" w:sz="8" w:space="0" w:color="auto"/>
              <w:left w:val="single" w:sz="8" w:space="0" w:color="auto"/>
              <w:bottom w:val="single" w:sz="8" w:space="0" w:color="auto"/>
              <w:right w:val="single" w:sz="8" w:space="0" w:color="auto"/>
            </w:tcBorders>
            <w:shd w:val="clear" w:color="000000" w:fill="00B0F0"/>
            <w:vAlign w:val="center"/>
            <w:hideMark/>
          </w:tcPr>
          <w:p w:rsidR="00EE5531" w:rsidRPr="005A7DD0" w:rsidRDefault="00EE5531" w:rsidP="00F5656A">
            <w:pPr>
              <w:widowControl/>
              <w:rPr>
                <w:rFonts w:ascii="Arial" w:eastAsia="Times New Roman" w:hAnsi="Arial" w:cs="Arial"/>
                <w:b/>
                <w:bCs/>
                <w:color w:val="FFFFFF"/>
                <w:sz w:val="20"/>
                <w:szCs w:val="20"/>
                <w:lang w:val="en-US" w:eastAsia="en-US" w:bidi="ar-SA"/>
              </w:rPr>
            </w:pPr>
            <w:r w:rsidRPr="005A7DD0">
              <w:rPr>
                <w:rFonts w:ascii="Arial" w:eastAsia="Times New Roman" w:hAnsi="Arial" w:cs="Arial"/>
                <w:b/>
                <w:bCs/>
                <w:color w:val="FFFFFF" w:themeColor="background1"/>
                <w:sz w:val="20"/>
                <w:szCs w:val="18"/>
                <w:lang w:eastAsia="en-US" w:bidi="ar-SA"/>
              </w:rPr>
              <w:t>Section of Prospectus</w:t>
            </w:r>
          </w:p>
        </w:tc>
      </w:tr>
      <w:tr w:rsidR="00EE5531" w:rsidRPr="005A7DD0" w:rsidTr="00F5656A">
        <w:trPr>
          <w:gridAfter w:val="1"/>
          <w:trHeight w:val="20"/>
        </w:trPr>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gridSpan w:val="3"/>
            <w:tcBorders>
              <w:top w:val="single" w:sz="8" w:space="0" w:color="auto"/>
              <w:left w:val="nil"/>
              <w:bottom w:val="nil"/>
              <w:right w:val="single" w:sz="8" w:space="0" w:color="000000"/>
            </w:tcBorders>
            <w:shd w:val="clear" w:color="000000" w:fill="FFFFFF"/>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1. KEY INFORMATION</w:t>
            </w:r>
          </w:p>
        </w:tc>
      </w:tr>
      <w:tr w:rsidR="00EE5531" w:rsidRPr="005A7DD0" w:rsidTr="00F5656A">
        <w:trPr>
          <w:gridAfter w:val="1"/>
          <w:trHeight w:val="20"/>
        </w:trPr>
        <w:tc>
          <w:tcPr>
            <w:tcW w:w="0" w:type="auto"/>
            <w:vMerge w:val="restart"/>
            <w:tcBorders>
              <w:top w:val="nil"/>
              <w:left w:val="single" w:sz="8" w:space="0" w:color="auto"/>
              <w:bottom w:val="nil"/>
              <w:right w:val="single" w:sz="8" w:space="0" w:color="auto"/>
            </w:tcBorders>
            <w:shd w:val="clear" w:color="000000" w:fill="FFFFFF"/>
            <w:vAlign w:val="center"/>
            <w:hideMark/>
          </w:tcPr>
          <w:p w:rsidR="00EE5531" w:rsidRPr="005A7DD0" w:rsidRDefault="00EE5531" w:rsidP="00F5656A">
            <w:pPr>
              <w:widowControl/>
              <w:jc w:val="right"/>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1.2</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Reasons for the offer</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r>
      <w:tr w:rsidR="00EE5531" w:rsidRPr="005A7DD0"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Reasons for the offer and, where applicable: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r>
      <w:tr w:rsidR="00EE5531" w:rsidRPr="005A7DD0"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(a) the estimated net amount of the proceeds broken into each principal intended use and presented by order of priority of such uses;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r>
      <w:tr w:rsidR="00EE5531" w:rsidRPr="005A7DD0" w:rsidTr="00F5656A">
        <w:trPr>
          <w:gridAfter w:val="1"/>
          <w:trHeight w:val="20"/>
        </w:trPr>
        <w:tc>
          <w:tcPr>
            <w:tcW w:w="0" w:type="auto"/>
            <w:vMerge/>
            <w:tcBorders>
              <w:top w:val="nil"/>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(b) if the Issuer is aware that the anticipated proceeds will not be sufficient to fund all the proposed uses, statement about the amount and sources of other funds needed; and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r>
      <w:tr w:rsidR="00EE5531" w:rsidRPr="005A7DD0" w:rsidTr="00F5656A">
        <w:trPr>
          <w:gridAfter w:val="1"/>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r w:rsidRPr="005A7DD0">
              <w:rPr>
                <w:rFonts w:ascii="Arial" w:eastAsia="Times New Roman" w:hAnsi="Arial" w:cs="Arial"/>
                <w:b/>
                <w:bCs/>
                <w:color w:val="auto"/>
                <w:sz w:val="20"/>
                <w:szCs w:val="20"/>
                <w:lang w:val="en-US" w:eastAsia="en-US" w:bidi="ar-SA"/>
              </w:rPr>
              <w:t> </w:t>
            </w:r>
          </w:p>
        </w:tc>
        <w:tc>
          <w:tcPr>
            <w:tcW w:w="0" w:type="auto"/>
            <w:tcBorders>
              <w:top w:val="nil"/>
              <w:left w:val="nil"/>
              <w:bottom w:val="single" w:sz="8" w:space="0" w:color="auto"/>
              <w:right w:val="single" w:sz="8" w:space="0" w:color="auto"/>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sz w:val="20"/>
                <w:szCs w:val="20"/>
                <w:lang w:val="en-US" w:eastAsia="en-US" w:bidi="ar-SA"/>
              </w:rPr>
              <w:t> </w:t>
            </w:r>
          </w:p>
        </w:tc>
        <w:tc>
          <w:tcPr>
            <w:tcW w:w="0" w:type="auto"/>
            <w:tcBorders>
              <w:top w:val="nil"/>
              <w:left w:val="nil"/>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Wingdings" w:eastAsia="Times New Roman" w:hAnsi="Wingdings" w:cs="Calibri"/>
                <w:b/>
                <w:bCs/>
                <w:color w:val="1F497D"/>
                <w:sz w:val="20"/>
                <w:szCs w:val="20"/>
                <w:lang w:val="en-US" w:eastAsia="en-US" w:bidi="ar-SA"/>
              </w:rPr>
            </w:pPr>
            <w:r w:rsidRPr="005A7DD0">
              <w:rPr>
                <w:rFonts w:ascii="Wingdings" w:eastAsia="Times New Roman" w:hAnsi="Times New Roman" w:cs="Calibri"/>
                <w:b/>
                <w:bCs/>
                <w:color w:val="auto"/>
                <w:sz w:val="20"/>
                <w:szCs w:val="20"/>
                <w:lang w:eastAsia="en-US" w:bidi="ar-SA"/>
              </w:rPr>
              <w:t> </w:t>
            </w:r>
          </w:p>
        </w:tc>
        <w:tc>
          <w:tcPr>
            <w:tcW w:w="0" w:type="auto"/>
            <w:tcBorders>
              <w:top w:val="nil"/>
              <w:left w:val="nil"/>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val="en-US" w:eastAsia="en-US" w:bidi="ar-SA"/>
              </w:rPr>
              <w:t> </w:t>
            </w:r>
          </w:p>
        </w:tc>
      </w:tr>
      <w:tr w:rsidR="00EE5531" w:rsidRPr="005A7DD0"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jc w:val="right"/>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1.4</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Working capital statement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r>
      <w:tr w:rsidR="00EE5531" w:rsidRPr="005A7DD0"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(1) Subject to (2), a statement by the Directors of the Issuer that in their opinion the working capital is sufficient for the Issuer's present requirements, that is for at least the next 12 months from the date of listing, or, if not how it proposes to provide the additional working capital needed. </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r>
      <w:tr w:rsidR="00EE5531" w:rsidRPr="005A7DD0"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(2) The working capital statement is not required for the applicants, whose business is entirely or substantially that of the provision of Financial Services, provided that: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r w:rsidRPr="005A7DD0">
              <w:rPr>
                <w:rFonts w:ascii="Arial" w:eastAsia="Times New Roman" w:hAnsi="Arial" w:cs="Arial"/>
                <w:b/>
                <w:bCs/>
                <w:color w:val="auto"/>
                <w:sz w:val="20"/>
                <w:szCs w:val="18"/>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r>
      <w:tr w:rsidR="00EE5531" w:rsidRPr="005A7DD0"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(i) the inclusion of such a statement would not provide significant information for investors; and </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r>
      <w:tr w:rsidR="00EE5531" w:rsidRPr="005A7DD0" w:rsidTr="00F5656A">
        <w:trPr>
          <w:gridAfter w:val="1"/>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(ii) the applicant’s solvency and capital adequacy are subject to prudential supervision by Financial Services Regulator.</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r>
      <w:tr w:rsidR="00EE5531" w:rsidRPr="005A7DD0" w:rsidTr="00F5656A">
        <w:trPr>
          <w:gridAfter w:val="1"/>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gridSpan w:val="3"/>
            <w:tcBorders>
              <w:top w:val="single" w:sz="8" w:space="0" w:color="auto"/>
              <w:left w:val="nil"/>
              <w:bottom w:val="single" w:sz="8" w:space="0" w:color="auto"/>
              <w:right w:val="single" w:sz="8" w:space="0" w:color="000000"/>
            </w:tcBorders>
            <w:shd w:val="clear" w:color="000000" w:fill="FFFFFF"/>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2 INFORMATION RELATING TO THE SECURITIES OFFERED/ADMITTED TO TRADING</w:t>
            </w:r>
          </w:p>
        </w:tc>
      </w:tr>
      <w:tr w:rsidR="00EE5531" w:rsidRPr="005A7DD0" w:rsidTr="00F5656A">
        <w:trPr>
          <w:gridAfter w:val="1"/>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jc w:val="right"/>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2.1</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General information relating to Securities</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tcBorders>
              <w:top w:val="nil"/>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r>
      <w:tr w:rsidR="00EE5531" w:rsidRPr="005A7DD0" w:rsidTr="00F5656A">
        <w:trPr>
          <w:gridAfter w:val="1"/>
          <w:trHeight w:val="475"/>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(a) A description of the type and class of the Securities being offered and/or admitted to trading, including any identification number (ISIN) or code applicable to the Securities.</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noWrap/>
            <w:vAlign w:val="bottom"/>
            <w:hideMark/>
          </w:tcPr>
          <w:p w:rsidR="00EE5531" w:rsidRPr="005A7DD0" w:rsidRDefault="00EE5531" w:rsidP="00F5656A">
            <w:pPr>
              <w:widowControl/>
              <w:rPr>
                <w:rFonts w:ascii="Arial" w:eastAsia="Times New Roman" w:hAnsi="Arial" w:cs="Arial"/>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(b) An indication whether the Securities are in certificated form or book-entry form and if it is the latter, the name and address of the entity maintaining the records.</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(c) A summary of any restrictions relating to transferability of the Securities, the arrangements for settlement of transfers and any limitations of those rights and procedures for the exercise of such rights, including those specified in 2.2 and 2.3.</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(d) Any legislation under which the Securities have been created.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(e) The currency of the Securities issue.</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jc w:val="right"/>
              <w:rPr>
                <w:rFonts w:ascii="Arial" w:eastAsia="Times New Roman" w:hAnsi="Arial" w:cs="Arial"/>
                <w:b/>
                <w:bCs/>
                <w:sz w:val="20"/>
                <w:szCs w:val="20"/>
                <w:lang w:val="en-US" w:eastAsia="en-US" w:bidi="ar-SA"/>
              </w:rPr>
            </w:pPr>
            <w:r w:rsidRPr="005A7DD0">
              <w:rPr>
                <w:rFonts w:ascii="Arial" w:eastAsia="Times New Roman" w:hAnsi="Arial" w:cs="Arial"/>
                <w:b/>
                <w:bCs/>
                <w:sz w:val="20"/>
                <w:szCs w:val="18"/>
                <w:lang w:eastAsia="en-US" w:bidi="ar-SA"/>
              </w:rPr>
              <w:t>2.2</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Dividends</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Information relating to dividend rights including:</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(a) a description of the Issuer's policy on dividend distributions and any restrictions thereon; </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(b) the amount of the dividend per Security, or underlying Security if applicable, for each financial year for the period covered by the historical financial information, adjusted where the number of Securities, or underlying Securities if applicable, in the Issuer has changed, to make it comparable; </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(c) fixed date(s) on which the dividend entitlement arises; </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(d) if relevant, the time limit after which entitlement to dividend lapses and an indication of the Person in whose favour the lapse operates; </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(e) any dividend restrictions; and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(f) the rate of dividend or method of its calculation, periodicity and cumulative or non-cumulative nature of payments.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r w:rsidRPr="005A7DD0">
              <w:rPr>
                <w:rFonts w:ascii="Arial" w:eastAsia="Times New Roman" w:hAnsi="Arial" w:cs="Arial"/>
                <w:b/>
                <w:bCs/>
                <w:sz w:val="20"/>
                <w:szCs w:val="20"/>
                <w:lang w:val="en-US" w:eastAsia="en-US" w:bidi="ar-SA"/>
              </w:rPr>
              <w:t> </w:t>
            </w:r>
          </w:p>
        </w:tc>
        <w:tc>
          <w:tcPr>
            <w:tcW w:w="0" w:type="auto"/>
            <w:gridSpan w:val="3"/>
            <w:tcBorders>
              <w:top w:val="single" w:sz="8" w:space="0" w:color="auto"/>
              <w:left w:val="nil"/>
              <w:bottom w:val="single" w:sz="8" w:space="0" w:color="auto"/>
              <w:right w:val="single" w:sz="8" w:space="0" w:color="000000"/>
            </w:tcBorders>
            <w:shd w:val="clear" w:color="000000" w:fill="FFFFFF"/>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3 TERMS AND CONDITIONS OF THE OFFER</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jc w:val="right"/>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3.1</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Terms and conditions of the offer</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The terms and conditions of the offer including:</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(a) the number of Securities offered;</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(b) the price or price range of the Securities;</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(c) the identity of the seller of the Securities where the Person making the Prospectus Offer is not the Issuer;</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(d) the various categories of potential investors to which the Securities are offered. If the offer is being made simultaneously in two or more markets, and if a tranche has been or is being reserved for certain of these, indicate any such tranche and the category of investors for whom it is offered;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(e) a description of any material interests and conflict of interests relating to the affairs of the Issuer, detailing the Persons involved and the nature of such interests;</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(f) the Offer Period, including the opening and closing dates;</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(g) the manner of allocation of Securities to applicants including the manner in which Securities are allotted in the event of over subscription;</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(h) proposed date for allotment of Securities;</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18"/>
                <w:lang w:eastAsia="en-US" w:bidi="ar-SA"/>
              </w:rPr>
              <w:t>(i) where the Securities to be offered confer the right to subscribe for new Securities by existing holders of Securities in the Issuer, details of such rights, including a statement of the maximum number of Securities which would be created if the rights were exercised in full;</w:t>
            </w:r>
          </w:p>
        </w:tc>
        <w:tc>
          <w:tcPr>
            <w:tcW w:w="0" w:type="auto"/>
            <w:tcBorders>
              <w:top w:val="single" w:sz="8" w:space="0" w:color="auto"/>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ü</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18"/>
                <w:lang w:eastAsia="en-US" w:bidi="ar-SA"/>
              </w:rPr>
              <w:t>(j) the effect the issuance of the Securities will have on the capital structure of the Issuer;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18"/>
                <w:lang w:eastAsia="en-US" w:bidi="ar-SA"/>
              </w:rPr>
              <w:t>(k) particulars of any commissions or other fees to be paid by the Issuer in relation to the offer;</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18"/>
                <w:lang w:eastAsia="en-US" w:bidi="ar-SA"/>
              </w:rPr>
              <w:t>(l) all relevant details of the appointment of an underwriter on a firm commitment basis, including the nature of the obligations of the underwriter, quotas, plan of distribution, commission and, if a portion of the offer is not covered, a statement of the portion not covered;</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(m) all relevant details of the appointment of placing agents appointed on a 'without a firm commitment' basis or under a “best efforts” arrangement, including quotas and placing commission;</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(n) details of the entities which have a firm commitment to act as intermediaries in secondary trading, providing liquidity through bid and offer rates and description of the main terms of their commitment;</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(o) methods of payment for the Securities, particularly as regards the paying up of Securities which are not fully paid or are payable by instalments;</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 xml:space="preserve">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(p) in the event of the offer not proceeding, the details of the procedure and means under which the money obtained from applicants will be returned;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(q) process for notification to applicants of the amount of Securities allotted and indication whether dealing may begin before notification is made;</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(r) provided applicants are allowed to withdraw their subscription, an indication of the period during which an application may be withdrawn;</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(s) in the case of new Securities, a statement of the resolutions, authorisations and approvals by virtue of which the Securities have been or will be created and/or issued;</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(t) the details of any Convertible, including an indication of the conditions governing the procedures for conversion, exchange of subscription;</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(u) the procedure for the exercise of any right of pre-emption, the negotiability of subscription rights and the treatment of subscription rights not exercised;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Wingdings" w:eastAsia="Times New Roman" w:hAnsi="Wingdings" w:cs="Calibri"/>
                <w:b/>
                <w:bCs/>
                <w:color w:val="1F497D"/>
                <w:sz w:val="20"/>
                <w:szCs w:val="20"/>
                <w:lang w:val="en-US" w:eastAsia="en-US" w:bidi="ar-SA"/>
              </w:rPr>
            </w:pPr>
            <w:r w:rsidRPr="005A7DD0">
              <w:rPr>
                <w:rFonts w:ascii="Wingdings" w:eastAsia="Wingdings" w:hAnsi="Wingdings" w:cs="Wingdings"/>
                <w:b/>
                <w:bCs/>
                <w:color w:val="1F497D"/>
                <w:sz w:val="20"/>
                <w:szCs w:val="20"/>
                <w:lang w:eastAsia="en-US" w:bidi="ar-SA"/>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sz w:val="20"/>
                <w:szCs w:val="20"/>
                <w:lang w:val="en-US" w:eastAsia="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color w:val="1F497D"/>
                <w:sz w:val="20"/>
                <w:szCs w:val="20"/>
                <w:lang w:val="en-US" w:eastAsia="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noWrap/>
            <w:vAlign w:val="bottom"/>
            <w:hideMark/>
          </w:tcPr>
          <w:p w:rsidR="00EE5531" w:rsidRPr="005A7DD0" w:rsidRDefault="00EE5531" w:rsidP="00F5656A">
            <w:pPr>
              <w:widowControl/>
              <w:rPr>
                <w:rFonts w:ascii="Arial" w:eastAsia="Times New Roman" w:hAnsi="Arial" w:cs="Arial"/>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(v) if advisors to the Issuer are connected with the offer, a statement of the professional or other capacity in which such advisors have acted; and</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nil"/>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single" w:sz="8" w:space="0" w:color="auto"/>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(w) the name and address of any paying agents and depository agents in each country.</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jc w:val="right"/>
              <w:rPr>
                <w:rFonts w:ascii="Arial" w:eastAsia="Times New Roman" w:hAnsi="Arial" w:cs="Arial"/>
                <w:b/>
                <w:bCs/>
                <w:sz w:val="20"/>
                <w:szCs w:val="20"/>
                <w:lang w:val="en-US" w:eastAsia="en-US" w:bidi="ar-SA"/>
              </w:rPr>
            </w:pPr>
            <w:r w:rsidRPr="005A7DD0">
              <w:rPr>
                <w:rFonts w:ascii="Arial" w:eastAsia="Times New Roman" w:hAnsi="Arial" w:cs="Arial"/>
                <w:b/>
                <w:bCs/>
                <w:sz w:val="20"/>
                <w:szCs w:val="18"/>
                <w:lang w:eastAsia="en-US" w:bidi="ar-SA"/>
              </w:rPr>
              <w:t>3.2</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Plan of distribution and allotment</w:t>
            </w:r>
          </w:p>
        </w:tc>
        <w:tc>
          <w:tcPr>
            <w:tcW w:w="0" w:type="auto"/>
            <w:tcBorders>
              <w:top w:val="single" w:sz="8" w:space="0" w:color="auto"/>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(a) Pre-allotment disclosure relating to:</w:t>
            </w:r>
          </w:p>
        </w:tc>
        <w:tc>
          <w:tcPr>
            <w:tcW w:w="0" w:type="auto"/>
            <w:vMerge w:val="restart"/>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r w:rsidRPr="005A7DD0">
              <w:rPr>
                <w:rFonts w:ascii="Arial" w:eastAsia="Times New Roman" w:hAnsi="Arial" w:cs="Arial"/>
                <w:b/>
                <w:bCs/>
                <w:color w:val="auto"/>
                <w:sz w:val="20"/>
                <w:szCs w:val="18"/>
                <w:lang w:eastAsia="en-US" w:bidi="ar-SA"/>
              </w:rPr>
              <w:t> </w:t>
            </w:r>
          </w:p>
        </w:tc>
        <w:tc>
          <w:tcPr>
            <w:tcW w:w="0" w:type="auto"/>
            <w:vMerge w:val="restart"/>
            <w:tcBorders>
              <w:top w:val="single" w:sz="8" w:space="0" w:color="auto"/>
              <w:left w:val="single" w:sz="8" w:space="0" w:color="auto"/>
              <w:bottom w:val="nil"/>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(i) the division into tranches of the offer including institutional, retail and Issuer's employee tranches and any other tranches; </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(ii) the conditions under which a claw-back right may be used, the maximum size of such claw-back and any applicable minimum percentages for individual tranches; </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(iii) the allotment method or methods to be used for the retail and Issuer's employee tranche in the event of an over subscription of these tranches;</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(iv) 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inclusion in such classes or groups; </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(v) whether the treatment of subscriptions or bids to subscribe in the allotment may be determined on the basis of which intermediary firm they are made through or by a target minimum individual allotment if any within the retail tranche; </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(vi) the conditions for the closing of the offer before the end of the Offer Period as well as the date on which the offer may be closed at the earliest; and </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 xml:space="preserve">(vii) whether or not multiple subscriptions are admitted, and where they are not, how any multiple subscriptions will be handled. </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000000" w:themeColor="text1"/>
                <w:sz w:val="20"/>
                <w:szCs w:val="20"/>
                <w:lang w:eastAsia="en-US" w:bidi="ar-SA"/>
              </w:rPr>
              <w:t>(b) The details of any over-allotment option, including existence and size of the over-allotment option, the period in which the over-allotment option may be exercised and any conditions on exercising such option.</w:t>
            </w: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b/>
                <w:bCs/>
                <w:color w:val="auto"/>
                <w:sz w:val="20"/>
                <w:szCs w:val="20"/>
                <w:lang w:val="en-US" w:eastAsia="en-US" w:bidi="ar-SA"/>
              </w:rPr>
            </w:pPr>
          </w:p>
        </w:tc>
        <w:tc>
          <w:tcPr>
            <w:tcW w:w="0" w:type="auto"/>
            <w:vMerge/>
            <w:tcBorders>
              <w:top w:val="single" w:sz="8" w:space="0" w:color="auto"/>
              <w:left w:val="single" w:sz="8" w:space="0" w:color="auto"/>
              <w:bottom w:val="nil"/>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gridSpan w:val="3"/>
            <w:tcBorders>
              <w:top w:val="single" w:sz="8" w:space="0" w:color="auto"/>
              <w:left w:val="nil"/>
              <w:bottom w:val="single" w:sz="8" w:space="0" w:color="auto"/>
              <w:right w:val="single" w:sz="8" w:space="0" w:color="000000"/>
            </w:tcBorders>
            <w:shd w:val="clear" w:color="000000" w:fill="FFFFFF"/>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5 ADMISSION TO TRADING</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jc w:val="right"/>
              <w:rPr>
                <w:rFonts w:ascii="Arial" w:eastAsia="Times New Roman" w:hAnsi="Arial" w:cs="Arial"/>
                <w:b/>
                <w:bCs/>
                <w:sz w:val="20"/>
                <w:szCs w:val="20"/>
                <w:lang w:val="en-US" w:eastAsia="en-US" w:bidi="ar-SA"/>
              </w:rPr>
            </w:pPr>
            <w:r w:rsidRPr="005A7DD0">
              <w:rPr>
                <w:rFonts w:ascii="Arial" w:eastAsia="Times New Roman" w:hAnsi="Arial" w:cs="Arial"/>
                <w:b/>
                <w:bCs/>
                <w:color w:val="auto"/>
                <w:sz w:val="20"/>
                <w:szCs w:val="18"/>
                <w:lang w:eastAsia="en-US" w:bidi="ar-SA"/>
              </w:rPr>
              <w:t>5.1</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(a) The proposed dates for:</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admission to an Official List;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(ii)</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admission to trading on an Authorised Market Institution;</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(iii)</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admission to listing or trading by a Financial Service Regulator or Authorised Investment Exchange; and</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b/>
                <w:bCs/>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(iv)</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any other such comparable event in respect of the Securities.</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tcBorders>
              <w:top w:val="single" w:sz="8" w:space="0" w:color="auto"/>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sz w:val="20"/>
                <w:szCs w:val="20"/>
                <w:lang w:val="en-US" w:eastAsia="en-US" w:bidi="ar-SA"/>
              </w:rPr>
            </w:pPr>
            <w:r w:rsidRPr="005A7DD0">
              <w:rPr>
                <w:rFonts w:ascii="Arial" w:eastAsia="Times New Roman" w:hAnsi="Arial" w:cs="Arial"/>
                <w:color w:val="auto"/>
                <w:sz w:val="20"/>
                <w:szCs w:val="18"/>
                <w:lang w:eastAsia="en-US" w:bidi="ar-SA"/>
              </w:rPr>
              <w:t>(b) The actual dates on which:</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18"/>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the Securities were admitted to an Official List;</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(ii)</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the Securities were admitted to trading on an Authorised Market Institution;</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sz w:val="20"/>
                <w:szCs w:val="20"/>
                <w:lang w:val="en-US" w:eastAsia="en-US" w:bidi="ar-SA"/>
              </w:rPr>
            </w:pPr>
            <w:r w:rsidRPr="005A7DD0">
              <w:rPr>
                <w:rFonts w:ascii="Wingdings" w:eastAsia="Times New Roman" w:hAnsi="Wingdings" w:cs="Calibri"/>
                <w:b/>
                <w:bCs/>
                <w:sz w:val="20"/>
                <w:szCs w:val="20"/>
                <w:lang w:eastAsia="en-US" w:bidi="ar-SA"/>
              </w:rPr>
              <w:t></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tcBorders>
              <w:top w:val="nil"/>
              <w:left w:val="nil"/>
              <w:bottom w:val="nil"/>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(iii)</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the Securities were listed or admitted to trading by a Financial Services Regulator or Authorised Investment Exchange; and</w:t>
            </w:r>
          </w:p>
        </w:tc>
        <w:tc>
          <w:tcPr>
            <w:tcW w:w="0" w:type="auto"/>
            <w:tcBorders>
              <w:top w:val="nil"/>
              <w:left w:val="single" w:sz="8" w:space="0" w:color="auto"/>
              <w:bottom w:val="nil"/>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lang w:val="en-US" w:eastAsia="en-US" w:bidi="ar-SA"/>
              </w:rPr>
            </w:pPr>
            <w:r w:rsidRPr="005A7DD0">
              <w:rPr>
                <w:rFonts w:ascii="Wingdings" w:eastAsia="Times New Roman" w:hAnsi="Wingdings" w:cs="Calibri"/>
                <w:b/>
                <w:bCs/>
                <w:lang w:eastAsia="en-US" w:bidi="ar-SA"/>
              </w:rPr>
              <w:t></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 </w:t>
            </w: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r w:rsidR="00EE5531" w:rsidRPr="005A7DD0" w:rsidTr="00F5656A">
        <w:trPr>
          <w:trHeight w:val="20"/>
        </w:trPr>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tcBorders>
              <w:top w:val="nil"/>
              <w:left w:val="nil"/>
              <w:bottom w:val="single" w:sz="8" w:space="0" w:color="auto"/>
              <w:right w:val="nil"/>
            </w:tcBorders>
            <w:shd w:val="clear" w:color="000000" w:fill="FFFFFF"/>
            <w:vAlign w:val="center"/>
            <w:hideMark/>
          </w:tcPr>
          <w:p w:rsidR="00EE5531" w:rsidRPr="005A7DD0" w:rsidRDefault="00EE5531" w:rsidP="00F5656A">
            <w:pPr>
              <w:widowControl/>
              <w:jc w:val="both"/>
              <w:rPr>
                <w:rFonts w:ascii="Arial" w:eastAsia="Times New Roman" w:hAnsi="Arial" w:cs="Arial"/>
                <w:color w:val="auto"/>
                <w:sz w:val="20"/>
                <w:szCs w:val="20"/>
                <w:lang w:val="en-US" w:eastAsia="en-US" w:bidi="ar-SA"/>
              </w:rPr>
            </w:pPr>
            <w:r w:rsidRPr="005A7DD0">
              <w:rPr>
                <w:rFonts w:ascii="Arial" w:eastAsia="Times New Roman" w:hAnsi="Arial" w:cs="Arial"/>
                <w:color w:val="auto"/>
                <w:sz w:val="20"/>
                <w:szCs w:val="20"/>
                <w:lang w:eastAsia="en-US" w:bidi="ar-SA"/>
              </w:rPr>
              <w:t>(iv)</w:t>
            </w:r>
            <w:r w:rsidRPr="005A7DD0">
              <w:rPr>
                <w:rFonts w:ascii="Times New Roman" w:eastAsia="Times New Roman" w:hAnsi="Times New Roman" w:cs="Times New Roman"/>
                <w:color w:val="auto"/>
                <w:sz w:val="14"/>
                <w:szCs w:val="14"/>
                <w:lang w:eastAsia="en-US" w:bidi="ar-SA"/>
              </w:rPr>
              <w:t xml:space="preserve">  </w:t>
            </w:r>
            <w:r w:rsidRPr="005A7DD0">
              <w:rPr>
                <w:rFonts w:ascii="Arial" w:eastAsia="Times New Roman" w:hAnsi="Arial" w:cs="Arial"/>
                <w:sz w:val="20"/>
                <w:szCs w:val="20"/>
                <w:lang w:eastAsia="en-US" w:bidi="ar-SA"/>
              </w:rPr>
              <w:t>any other such comparable event took place in respect of the Securities.</w:t>
            </w:r>
          </w:p>
        </w:tc>
        <w:tc>
          <w:tcPr>
            <w:tcW w:w="0" w:type="auto"/>
            <w:tcBorders>
              <w:top w:val="nil"/>
              <w:left w:val="single" w:sz="8" w:space="0" w:color="auto"/>
              <w:bottom w:val="single" w:sz="8" w:space="0" w:color="auto"/>
              <w:right w:val="nil"/>
            </w:tcBorders>
            <w:shd w:val="clear" w:color="000000" w:fill="FFFFFF"/>
            <w:vAlign w:val="center"/>
            <w:hideMark/>
          </w:tcPr>
          <w:p w:rsidR="00EE5531" w:rsidRPr="005A7DD0" w:rsidRDefault="00EE5531" w:rsidP="00F5656A">
            <w:pPr>
              <w:widowControl/>
              <w:rPr>
                <w:rFonts w:ascii="Wingdings" w:eastAsia="Times New Roman" w:hAnsi="Wingdings" w:cs="Calibri"/>
                <w:b/>
                <w:bCs/>
                <w:lang w:val="en-US" w:eastAsia="en-US" w:bidi="ar-SA"/>
              </w:rPr>
            </w:pPr>
            <w:r w:rsidRPr="005A7DD0">
              <w:rPr>
                <w:rFonts w:ascii="Wingdings" w:eastAsia="Times New Roman" w:hAnsi="Wingdings" w:cs="Calibri"/>
                <w:b/>
                <w:bCs/>
                <w:lang w:eastAsia="en-US" w:bidi="ar-SA"/>
              </w:rPr>
              <w:t></w:t>
            </w:r>
          </w:p>
        </w:tc>
        <w:tc>
          <w:tcPr>
            <w:tcW w:w="0" w:type="auto"/>
            <w:vMerge/>
            <w:tcBorders>
              <w:top w:val="nil"/>
              <w:left w:val="single" w:sz="8" w:space="0" w:color="auto"/>
              <w:bottom w:val="single" w:sz="8" w:space="0" w:color="000000"/>
              <w:right w:val="single" w:sz="8" w:space="0" w:color="auto"/>
            </w:tcBorders>
            <w:vAlign w:val="center"/>
            <w:hideMark/>
          </w:tcPr>
          <w:p w:rsidR="00EE5531" w:rsidRPr="005A7DD0" w:rsidRDefault="00EE5531" w:rsidP="00F5656A">
            <w:pPr>
              <w:widowControl/>
              <w:rPr>
                <w:rFonts w:ascii="Arial" w:eastAsia="Times New Roman" w:hAnsi="Arial" w:cs="Arial"/>
                <w:color w:val="auto"/>
                <w:sz w:val="20"/>
                <w:szCs w:val="20"/>
                <w:lang w:val="en-US" w:eastAsia="en-US" w:bidi="ar-SA"/>
              </w:rPr>
            </w:pPr>
          </w:p>
        </w:tc>
        <w:tc>
          <w:tcPr>
            <w:tcW w:w="0" w:type="auto"/>
            <w:vAlign w:val="center"/>
            <w:hideMark/>
          </w:tcPr>
          <w:p w:rsidR="00EE5531" w:rsidRPr="005A7DD0" w:rsidRDefault="00EE5531" w:rsidP="00F5656A">
            <w:pPr>
              <w:widowControl/>
              <w:rPr>
                <w:rFonts w:ascii="Times New Roman" w:eastAsia="Times New Roman" w:hAnsi="Times New Roman" w:cs="Times New Roman"/>
                <w:color w:val="auto"/>
                <w:sz w:val="20"/>
                <w:szCs w:val="20"/>
                <w:lang w:val="en-US" w:eastAsia="en-US" w:bidi="ar-SA"/>
              </w:rPr>
            </w:pPr>
          </w:p>
        </w:tc>
      </w:tr>
    </w:tbl>
    <w:p w:rsidR="00EE5531" w:rsidRPr="00D43BDB" w:rsidRDefault="00EE5531" w:rsidP="00EE5531">
      <w:pPr>
        <w:spacing w:before="180" w:after="180"/>
        <w:rPr>
          <w:rFonts w:asciiTheme="minorHAnsi" w:hAnsiTheme="minorHAnsi" w:cstheme="minorHAnsi"/>
          <w:color w:val="auto"/>
          <w:sz w:val="20"/>
          <w:szCs w:val="18"/>
          <w:lang w:val="ru-RU"/>
        </w:rPr>
      </w:pPr>
    </w:p>
    <w:p w:rsidR="003941B4" w:rsidRDefault="003941B4"/>
    <w:sectPr w:rsidR="003941B4" w:rsidSect="00EE5531">
      <w:pgSz w:w="11900" w:h="16840"/>
      <w:pgMar w:top="846" w:right="981" w:bottom="1052" w:left="14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8D8" w:rsidRDefault="00BD78D8">
      <w:r>
        <w:separator/>
      </w:r>
    </w:p>
  </w:endnote>
  <w:endnote w:type="continuationSeparator" w:id="0">
    <w:p w:rsidR="00BD78D8" w:rsidRDefault="00BD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31" w:rsidRDefault="00EE5531" w:rsidP="00BA4B88">
    <w:pPr>
      <w:pStyle w:val="ae"/>
    </w:pPr>
  </w:p>
  <w:tbl>
    <w:tblPr>
      <w:tblW w:w="9644" w:type="dxa"/>
      <w:tblLayout w:type="fixed"/>
      <w:tblLook w:val="0000" w:firstRow="0" w:lastRow="0" w:firstColumn="0" w:lastColumn="0" w:noHBand="0" w:noVBand="0"/>
    </w:tblPr>
    <w:tblGrid>
      <w:gridCol w:w="3214"/>
      <w:gridCol w:w="3215"/>
      <w:gridCol w:w="3215"/>
    </w:tblGrid>
    <w:tr w:rsidR="00EE5531" w:rsidTr="00AB28B9">
      <w:tc>
        <w:tcPr>
          <w:tcW w:w="3214" w:type="dxa"/>
          <w:vAlign w:val="bottom"/>
        </w:tcPr>
        <w:p w:rsidR="00EE5531" w:rsidRPr="00AB28B9" w:rsidRDefault="00EE5531" w:rsidP="00AB28B9">
          <w:pPr>
            <w:pStyle w:val="ae"/>
            <w:rPr>
              <w:sz w:val="12"/>
            </w:rPr>
          </w:pPr>
        </w:p>
      </w:tc>
      <w:tc>
        <w:tcPr>
          <w:tcW w:w="3215" w:type="dxa"/>
        </w:tcPr>
        <w:p w:rsidR="00EE5531" w:rsidRDefault="00EE5531" w:rsidP="00AB28B9">
          <w:pPr>
            <w:pStyle w:val="WCPageNumber"/>
            <w:jc w:val="center"/>
          </w:pPr>
        </w:p>
      </w:tc>
      <w:tc>
        <w:tcPr>
          <w:tcW w:w="3215" w:type="dxa"/>
        </w:tcPr>
        <w:p w:rsidR="00EE5531" w:rsidRDefault="00EE5531" w:rsidP="00AB28B9">
          <w:pPr>
            <w:pStyle w:val="ae"/>
            <w:jc w:val="right"/>
          </w:pPr>
        </w:p>
      </w:tc>
    </w:tr>
  </w:tbl>
  <w:p w:rsidR="00EE5531" w:rsidRPr="00AB28B9" w:rsidRDefault="00EE5531">
    <w:pPr>
      <w:pStyle w:val="ae"/>
      <w:rPr>
        <w:sz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73725800"/>
      <w:docPartObj>
        <w:docPartGallery w:val="Page Numbers (Bottom of Page)"/>
        <w:docPartUnique/>
      </w:docPartObj>
    </w:sdtPr>
    <w:sdtEndPr>
      <w:rPr>
        <w:noProof/>
      </w:rPr>
    </w:sdtEndPr>
    <w:sdtContent>
      <w:p w:rsidR="00EE5531" w:rsidRPr="006B6405" w:rsidRDefault="00EE5531">
        <w:pPr>
          <w:pStyle w:val="ae"/>
          <w:jc w:val="center"/>
          <w:rPr>
            <w:rFonts w:ascii="Arial" w:hAnsi="Arial" w:cs="Arial"/>
            <w:sz w:val="20"/>
            <w:szCs w:val="20"/>
          </w:rPr>
        </w:pPr>
        <w:r w:rsidRPr="006B6405">
          <w:rPr>
            <w:rFonts w:ascii="Arial" w:hAnsi="Arial" w:cs="Arial"/>
            <w:sz w:val="20"/>
            <w:szCs w:val="20"/>
          </w:rPr>
          <w:fldChar w:fldCharType="begin"/>
        </w:r>
        <w:r w:rsidRPr="006B6405">
          <w:rPr>
            <w:rFonts w:ascii="Arial" w:hAnsi="Arial" w:cs="Arial"/>
            <w:sz w:val="20"/>
            <w:szCs w:val="20"/>
          </w:rPr>
          <w:instrText xml:space="preserve"> PAGE   \* MERGEFORMAT </w:instrText>
        </w:r>
        <w:r w:rsidRPr="006B6405">
          <w:rPr>
            <w:rFonts w:ascii="Arial" w:hAnsi="Arial" w:cs="Arial"/>
            <w:sz w:val="20"/>
            <w:szCs w:val="20"/>
          </w:rPr>
          <w:fldChar w:fldCharType="separate"/>
        </w:r>
        <w:r w:rsidR="00413F4C">
          <w:rPr>
            <w:rFonts w:ascii="Arial" w:hAnsi="Arial" w:cs="Arial"/>
            <w:noProof/>
            <w:sz w:val="20"/>
            <w:szCs w:val="20"/>
          </w:rPr>
          <w:t>1</w:t>
        </w:r>
        <w:r w:rsidRPr="006B6405">
          <w:rPr>
            <w:rFonts w:ascii="Arial" w:hAnsi="Arial" w:cs="Arial"/>
            <w:noProof/>
            <w:sz w:val="20"/>
            <w:szCs w:val="20"/>
          </w:rPr>
          <w:fldChar w:fldCharType="end"/>
        </w:r>
      </w:p>
    </w:sdtContent>
  </w:sdt>
  <w:tbl>
    <w:tblPr>
      <w:tblW w:w="9644" w:type="dxa"/>
      <w:tblLayout w:type="fixed"/>
      <w:tblLook w:val="0000" w:firstRow="0" w:lastRow="0" w:firstColumn="0" w:lastColumn="0" w:noHBand="0" w:noVBand="0"/>
    </w:tblPr>
    <w:tblGrid>
      <w:gridCol w:w="3214"/>
      <w:gridCol w:w="3215"/>
      <w:gridCol w:w="3215"/>
    </w:tblGrid>
    <w:tr w:rsidR="00EE5531" w:rsidRPr="006B6405" w:rsidTr="00AB28B9">
      <w:tc>
        <w:tcPr>
          <w:tcW w:w="3214" w:type="dxa"/>
          <w:vAlign w:val="bottom"/>
        </w:tcPr>
        <w:p w:rsidR="00EE5531" w:rsidRPr="00AB28B9" w:rsidRDefault="00EE5531" w:rsidP="00AB28B9">
          <w:pPr>
            <w:pStyle w:val="ae"/>
            <w:rPr>
              <w:sz w:val="12"/>
            </w:rPr>
          </w:pPr>
        </w:p>
      </w:tc>
      <w:tc>
        <w:tcPr>
          <w:tcW w:w="3215" w:type="dxa"/>
        </w:tcPr>
        <w:p w:rsidR="00EE5531" w:rsidRPr="006B6405" w:rsidRDefault="00EE5531" w:rsidP="00AB28B9">
          <w:pPr>
            <w:pStyle w:val="WCPageNumber"/>
            <w:jc w:val="center"/>
          </w:pPr>
        </w:p>
      </w:tc>
      <w:tc>
        <w:tcPr>
          <w:tcW w:w="3215" w:type="dxa"/>
        </w:tcPr>
        <w:p w:rsidR="00EE5531" w:rsidRPr="006B6405" w:rsidRDefault="00EE5531" w:rsidP="00AB28B9">
          <w:pPr>
            <w:pStyle w:val="ae"/>
            <w:jc w:val="right"/>
          </w:pPr>
        </w:p>
      </w:tc>
    </w:tr>
  </w:tbl>
  <w:p w:rsidR="00EE5531" w:rsidRPr="00AB28B9" w:rsidRDefault="00EE5531">
    <w:pPr>
      <w:spacing w:line="1" w:lineRule="exact"/>
      <w:rPr>
        <w:rFonts w:ascii="Arial" w:hAnsi="Arial" w:cs="Arial"/>
        <w:sz w:val="8"/>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31" w:rsidRDefault="00EE5531" w:rsidP="00BA4B88">
    <w:pPr>
      <w:pStyle w:val="ae"/>
    </w:pPr>
  </w:p>
  <w:tbl>
    <w:tblPr>
      <w:tblW w:w="9644" w:type="dxa"/>
      <w:tblLayout w:type="fixed"/>
      <w:tblLook w:val="0000" w:firstRow="0" w:lastRow="0" w:firstColumn="0" w:lastColumn="0" w:noHBand="0" w:noVBand="0"/>
    </w:tblPr>
    <w:tblGrid>
      <w:gridCol w:w="3214"/>
      <w:gridCol w:w="3215"/>
      <w:gridCol w:w="3215"/>
    </w:tblGrid>
    <w:tr w:rsidR="00EE5531" w:rsidTr="00AB28B9">
      <w:tc>
        <w:tcPr>
          <w:tcW w:w="3214" w:type="dxa"/>
          <w:vAlign w:val="bottom"/>
        </w:tcPr>
        <w:p w:rsidR="00EE5531" w:rsidRPr="00AB28B9" w:rsidRDefault="00EE5531" w:rsidP="00AB28B9">
          <w:pPr>
            <w:pStyle w:val="ae"/>
            <w:rPr>
              <w:sz w:val="12"/>
            </w:rPr>
          </w:pPr>
        </w:p>
      </w:tc>
      <w:tc>
        <w:tcPr>
          <w:tcW w:w="3215" w:type="dxa"/>
        </w:tcPr>
        <w:p w:rsidR="00EE5531" w:rsidRDefault="00EE5531" w:rsidP="00AB28B9">
          <w:pPr>
            <w:pStyle w:val="WCPageNumber"/>
            <w:jc w:val="center"/>
          </w:pPr>
        </w:p>
      </w:tc>
      <w:tc>
        <w:tcPr>
          <w:tcW w:w="3215" w:type="dxa"/>
        </w:tcPr>
        <w:p w:rsidR="00EE5531" w:rsidRDefault="00EE5531" w:rsidP="00AB28B9">
          <w:pPr>
            <w:pStyle w:val="ae"/>
            <w:jc w:val="right"/>
          </w:pPr>
        </w:p>
      </w:tc>
    </w:tr>
  </w:tbl>
  <w:p w:rsidR="00EE5531" w:rsidRPr="00AB28B9" w:rsidRDefault="00EE5531">
    <w:pPr>
      <w:pStyle w:val="ae"/>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8D8" w:rsidRDefault="00BD78D8">
      <w:r>
        <w:separator/>
      </w:r>
    </w:p>
  </w:footnote>
  <w:footnote w:type="continuationSeparator" w:id="0">
    <w:p w:rsidR="00BD78D8" w:rsidRDefault="00BD78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31" w:rsidRDefault="00EE5531">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31" w:rsidRDefault="00EE553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531" w:rsidRDefault="00EE553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498"/>
    <w:multiLevelType w:val="multilevel"/>
    <w:tmpl w:val="CD3868D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B4B79"/>
    <w:multiLevelType w:val="hybridMultilevel"/>
    <w:tmpl w:val="D500EDA2"/>
    <w:lvl w:ilvl="0" w:tplc="A7D88E0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50222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0432C"/>
    <w:multiLevelType w:val="multilevel"/>
    <w:tmpl w:val="F7BC97F8"/>
    <w:lvl w:ilvl="0">
      <w:start w:val="3"/>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7E150F"/>
    <w:multiLevelType w:val="multilevel"/>
    <w:tmpl w:val="A3243478"/>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EF5163"/>
    <w:multiLevelType w:val="multilevel"/>
    <w:tmpl w:val="64DCDA2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7D540D"/>
    <w:multiLevelType w:val="multilevel"/>
    <w:tmpl w:val="782CC842"/>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95663"/>
    <w:multiLevelType w:val="multilevel"/>
    <w:tmpl w:val="F1E46804"/>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7976B8"/>
    <w:multiLevelType w:val="multilevel"/>
    <w:tmpl w:val="77CC2E4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988"/>
    <w:multiLevelType w:val="multilevel"/>
    <w:tmpl w:val="BAF25572"/>
    <w:lvl w:ilvl="0">
      <w:start w:val="2"/>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9F691E"/>
    <w:multiLevelType w:val="multilevel"/>
    <w:tmpl w:val="CB3E8F9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915494"/>
    <w:multiLevelType w:val="multilevel"/>
    <w:tmpl w:val="7A7A35EE"/>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374FD3"/>
    <w:multiLevelType w:val="multilevel"/>
    <w:tmpl w:val="2C2E640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5C1BB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E3F3F"/>
    <w:multiLevelType w:val="multilevel"/>
    <w:tmpl w:val="543E40CC"/>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FB252F"/>
    <w:multiLevelType w:val="multilevel"/>
    <w:tmpl w:val="59963CF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591F14"/>
    <w:multiLevelType w:val="multilevel"/>
    <w:tmpl w:val="58A2C8BA"/>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6F2111"/>
    <w:multiLevelType w:val="multilevel"/>
    <w:tmpl w:val="D46028F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F04DD2"/>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225C5"/>
    <w:multiLevelType w:val="multilevel"/>
    <w:tmpl w:val="C88407D4"/>
    <w:lvl w:ilvl="0">
      <w:start w:val="7"/>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544F65"/>
    <w:multiLevelType w:val="multilevel"/>
    <w:tmpl w:val="E4E6E03E"/>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B26A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12480"/>
    <w:multiLevelType w:val="multilevel"/>
    <w:tmpl w:val="E5101812"/>
    <w:lvl w:ilvl="0">
      <w:start w:val="1"/>
      <w:numFmt w:val="lowerRoman"/>
      <w:lvlText w:val="(%1)"/>
      <w:lvlJc w:val="left"/>
      <w:pPr>
        <w:ind w:left="0" w:firstLine="0"/>
      </w:pPr>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EAB218E"/>
    <w:multiLevelType w:val="multilevel"/>
    <w:tmpl w:val="8C1A5CC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BC6A58"/>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57B7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8B1511"/>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97A1A"/>
    <w:multiLevelType w:val="multilevel"/>
    <w:tmpl w:val="30D6031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CB0C4A"/>
    <w:multiLevelType w:val="multilevel"/>
    <w:tmpl w:val="0B9A949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EF72D6"/>
    <w:multiLevelType w:val="multilevel"/>
    <w:tmpl w:val="CB68F934"/>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7C0D16"/>
    <w:multiLevelType w:val="multilevel"/>
    <w:tmpl w:val="6C6CDB3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EE04DD"/>
    <w:multiLevelType w:val="multilevel"/>
    <w:tmpl w:val="6856142C"/>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6A1495"/>
    <w:multiLevelType w:val="multilevel"/>
    <w:tmpl w:val="B8E4BAE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5313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570BCC"/>
    <w:multiLevelType w:val="multilevel"/>
    <w:tmpl w:val="76A89C52"/>
    <w:lvl w:ilvl="0">
      <w:start w:val="100"/>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0"/>
  </w:num>
  <w:num w:numId="3">
    <w:abstractNumId w:val="15"/>
  </w:num>
  <w:num w:numId="4">
    <w:abstractNumId w:val="9"/>
  </w:num>
  <w:num w:numId="5">
    <w:abstractNumId w:val="34"/>
  </w:num>
  <w:num w:numId="6">
    <w:abstractNumId w:val="17"/>
  </w:num>
  <w:num w:numId="7">
    <w:abstractNumId w:val="19"/>
  </w:num>
  <w:num w:numId="8">
    <w:abstractNumId w:val="22"/>
  </w:num>
  <w:num w:numId="9">
    <w:abstractNumId w:val="14"/>
  </w:num>
  <w:num w:numId="10">
    <w:abstractNumId w:val="7"/>
  </w:num>
  <w:num w:numId="11">
    <w:abstractNumId w:val="32"/>
  </w:num>
  <w:num w:numId="12">
    <w:abstractNumId w:val="27"/>
  </w:num>
  <w:num w:numId="13">
    <w:abstractNumId w:val="31"/>
  </w:num>
  <w:num w:numId="14">
    <w:abstractNumId w:val="29"/>
  </w:num>
  <w:num w:numId="15">
    <w:abstractNumId w:val="10"/>
  </w:num>
  <w:num w:numId="16">
    <w:abstractNumId w:val="6"/>
  </w:num>
  <w:num w:numId="17">
    <w:abstractNumId w:val="23"/>
  </w:num>
  <w:num w:numId="18">
    <w:abstractNumId w:val="12"/>
  </w:num>
  <w:num w:numId="19">
    <w:abstractNumId w:val="28"/>
  </w:num>
  <w:num w:numId="20">
    <w:abstractNumId w:val="0"/>
  </w:num>
  <w:num w:numId="21">
    <w:abstractNumId w:val="20"/>
  </w:num>
  <w:num w:numId="22">
    <w:abstractNumId w:val="5"/>
  </w:num>
  <w:num w:numId="23">
    <w:abstractNumId w:val="16"/>
  </w:num>
  <w:num w:numId="24">
    <w:abstractNumId w:val="4"/>
  </w:num>
  <w:num w:numId="25">
    <w:abstractNumId w:val="3"/>
  </w:num>
  <w:num w:numId="26">
    <w:abstractNumId w:val="2"/>
  </w:num>
  <w:num w:numId="27">
    <w:abstractNumId w:val="18"/>
  </w:num>
  <w:num w:numId="28">
    <w:abstractNumId w:val="26"/>
  </w:num>
  <w:num w:numId="29">
    <w:abstractNumId w:val="24"/>
  </w:num>
  <w:num w:numId="30">
    <w:abstractNumId w:val="33"/>
  </w:num>
  <w:num w:numId="31">
    <w:abstractNumId w:val="21"/>
  </w:num>
  <w:num w:numId="32">
    <w:abstractNumId w:val="25"/>
  </w:num>
  <w:num w:numId="33">
    <w:abstractNumId w:val="13"/>
  </w:num>
  <w:num w:numId="34">
    <w:abstractNumId w:val="1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31"/>
    <w:rsid w:val="003941B4"/>
    <w:rsid w:val="00413F4C"/>
    <w:rsid w:val="008C364A"/>
    <w:rsid w:val="008D73D6"/>
    <w:rsid w:val="00B86D3B"/>
    <w:rsid w:val="00BD78D8"/>
    <w:rsid w:val="00EE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4DA3"/>
  <w15:chartTrackingRefBased/>
  <w15:docId w15:val="{EB46CA3E-4292-4111-B63D-CB6AA60B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E5531"/>
    <w:pPr>
      <w:widowControl w:val="0"/>
      <w:spacing w:after="0" w:line="240" w:lineRule="auto"/>
    </w:pPr>
    <w:rPr>
      <w:rFonts w:ascii="Courier New" w:eastAsia="Courier New" w:hAnsi="Courier New" w:cs="Courier New"/>
      <w:color w:val="000000"/>
      <w:kern w:val="0"/>
      <w:lang w:val="en-GB" w:eastAsia="en-GB" w:bidi="en-GB"/>
      <w14:ligatures w14:val="none"/>
    </w:rPr>
  </w:style>
  <w:style w:type="paragraph" w:styleId="1">
    <w:name w:val="heading 1"/>
    <w:basedOn w:val="a"/>
    <w:next w:val="a"/>
    <w:link w:val="10"/>
    <w:uiPriority w:val="9"/>
    <w:qFormat/>
    <w:rsid w:val="00EE5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5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55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55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55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553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553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553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553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5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55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55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55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55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55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5531"/>
    <w:rPr>
      <w:rFonts w:eastAsiaTheme="majorEastAsia" w:cstheme="majorBidi"/>
      <w:color w:val="595959" w:themeColor="text1" w:themeTint="A6"/>
    </w:rPr>
  </w:style>
  <w:style w:type="character" w:customStyle="1" w:styleId="80">
    <w:name w:val="Заголовок 8 Знак"/>
    <w:basedOn w:val="a0"/>
    <w:link w:val="8"/>
    <w:uiPriority w:val="9"/>
    <w:semiHidden/>
    <w:rsid w:val="00EE55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5531"/>
    <w:rPr>
      <w:rFonts w:eastAsiaTheme="majorEastAsia" w:cstheme="majorBidi"/>
      <w:color w:val="272727" w:themeColor="text1" w:themeTint="D8"/>
    </w:rPr>
  </w:style>
  <w:style w:type="paragraph" w:styleId="a3">
    <w:name w:val="Title"/>
    <w:basedOn w:val="a"/>
    <w:next w:val="a"/>
    <w:link w:val="a4"/>
    <w:uiPriority w:val="10"/>
    <w:qFormat/>
    <w:rsid w:val="00EE553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5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5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55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5531"/>
    <w:pPr>
      <w:spacing w:before="160"/>
      <w:jc w:val="center"/>
    </w:pPr>
    <w:rPr>
      <w:i/>
      <w:iCs/>
      <w:color w:val="404040" w:themeColor="text1" w:themeTint="BF"/>
    </w:rPr>
  </w:style>
  <w:style w:type="character" w:customStyle="1" w:styleId="22">
    <w:name w:val="Цитата 2 Знак"/>
    <w:basedOn w:val="a0"/>
    <w:link w:val="21"/>
    <w:uiPriority w:val="29"/>
    <w:rsid w:val="00EE5531"/>
    <w:rPr>
      <w:i/>
      <w:iCs/>
      <w:color w:val="404040" w:themeColor="text1" w:themeTint="BF"/>
    </w:rPr>
  </w:style>
  <w:style w:type="paragraph" w:styleId="a7">
    <w:name w:val="List Paragraph"/>
    <w:basedOn w:val="a"/>
    <w:uiPriority w:val="34"/>
    <w:qFormat/>
    <w:rsid w:val="00EE5531"/>
    <w:pPr>
      <w:ind w:left="720"/>
      <w:contextualSpacing/>
    </w:pPr>
  </w:style>
  <w:style w:type="character" w:styleId="a8">
    <w:name w:val="Intense Emphasis"/>
    <w:basedOn w:val="a0"/>
    <w:uiPriority w:val="21"/>
    <w:qFormat/>
    <w:rsid w:val="00EE5531"/>
    <w:rPr>
      <w:i/>
      <w:iCs/>
      <w:color w:val="0F4761" w:themeColor="accent1" w:themeShade="BF"/>
    </w:rPr>
  </w:style>
  <w:style w:type="paragraph" w:styleId="a9">
    <w:name w:val="Intense Quote"/>
    <w:basedOn w:val="a"/>
    <w:next w:val="a"/>
    <w:link w:val="aa"/>
    <w:uiPriority w:val="30"/>
    <w:qFormat/>
    <w:rsid w:val="00EE5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5531"/>
    <w:rPr>
      <w:i/>
      <w:iCs/>
      <w:color w:val="0F4761" w:themeColor="accent1" w:themeShade="BF"/>
    </w:rPr>
  </w:style>
  <w:style w:type="character" w:styleId="ab">
    <w:name w:val="Intense Reference"/>
    <w:basedOn w:val="a0"/>
    <w:uiPriority w:val="32"/>
    <w:qFormat/>
    <w:rsid w:val="00EE5531"/>
    <w:rPr>
      <w:b/>
      <w:bCs/>
      <w:smallCaps/>
      <w:color w:val="0F4761" w:themeColor="accent1" w:themeShade="BF"/>
      <w:spacing w:val="5"/>
    </w:rPr>
  </w:style>
  <w:style w:type="character" w:customStyle="1" w:styleId="Headerorfooter2">
    <w:name w:val="Header or footer (2)_"/>
    <w:basedOn w:val="a0"/>
    <w:link w:val="Headerorfooter20"/>
    <w:rsid w:val="00EE5531"/>
    <w:rPr>
      <w:rFonts w:ascii="Times New Roman" w:eastAsia="Times New Roman" w:hAnsi="Times New Roman" w:cs="Times New Roman"/>
      <w:sz w:val="20"/>
      <w:szCs w:val="20"/>
    </w:rPr>
  </w:style>
  <w:style w:type="character" w:customStyle="1" w:styleId="Tablecaption">
    <w:name w:val="Table caption_"/>
    <w:basedOn w:val="a0"/>
    <w:link w:val="Tablecaption0"/>
    <w:rsid w:val="00EE5531"/>
    <w:rPr>
      <w:rFonts w:ascii="Arial" w:eastAsia="Arial" w:hAnsi="Arial" w:cs="Arial"/>
      <w:b/>
      <w:bCs/>
      <w:color w:val="1F497D"/>
      <w:sz w:val="20"/>
      <w:szCs w:val="20"/>
    </w:rPr>
  </w:style>
  <w:style w:type="character" w:customStyle="1" w:styleId="Other">
    <w:name w:val="Other_"/>
    <w:basedOn w:val="a0"/>
    <w:link w:val="Other0"/>
    <w:rsid w:val="00EE5531"/>
    <w:rPr>
      <w:rFonts w:ascii="Arial" w:eastAsia="Arial" w:hAnsi="Arial" w:cs="Arial"/>
      <w:color w:val="1F497D"/>
      <w:sz w:val="20"/>
      <w:szCs w:val="20"/>
    </w:rPr>
  </w:style>
  <w:style w:type="paragraph" w:customStyle="1" w:styleId="Headerorfooter20">
    <w:name w:val="Header or footer (2)"/>
    <w:basedOn w:val="a"/>
    <w:link w:val="Headerorfooter2"/>
    <w:rsid w:val="00EE5531"/>
    <w:rPr>
      <w:rFonts w:ascii="Times New Roman" w:eastAsia="Times New Roman" w:hAnsi="Times New Roman" w:cs="Times New Roman"/>
      <w:color w:val="auto"/>
      <w:kern w:val="2"/>
      <w:sz w:val="20"/>
      <w:szCs w:val="20"/>
      <w:lang w:val="ru-RU" w:eastAsia="en-US" w:bidi="ar-SA"/>
      <w14:ligatures w14:val="standardContextual"/>
    </w:rPr>
  </w:style>
  <w:style w:type="paragraph" w:customStyle="1" w:styleId="Tablecaption0">
    <w:name w:val="Table caption"/>
    <w:basedOn w:val="a"/>
    <w:link w:val="Tablecaption"/>
    <w:rsid w:val="00EE5531"/>
    <w:rPr>
      <w:rFonts w:ascii="Arial" w:eastAsia="Arial" w:hAnsi="Arial" w:cs="Arial"/>
      <w:b/>
      <w:bCs/>
      <w:color w:val="1F497D"/>
      <w:kern w:val="2"/>
      <w:sz w:val="20"/>
      <w:szCs w:val="20"/>
      <w:lang w:val="ru-RU" w:eastAsia="en-US" w:bidi="ar-SA"/>
      <w14:ligatures w14:val="standardContextual"/>
    </w:rPr>
  </w:style>
  <w:style w:type="paragraph" w:customStyle="1" w:styleId="Other0">
    <w:name w:val="Other"/>
    <w:basedOn w:val="a"/>
    <w:link w:val="Other"/>
    <w:rsid w:val="00EE5531"/>
    <w:rPr>
      <w:rFonts w:ascii="Arial" w:eastAsia="Arial" w:hAnsi="Arial" w:cs="Arial"/>
      <w:color w:val="1F497D"/>
      <w:kern w:val="2"/>
      <w:sz w:val="20"/>
      <w:szCs w:val="20"/>
      <w:lang w:val="ru-RU" w:eastAsia="en-US" w:bidi="ar-SA"/>
      <w14:ligatures w14:val="standardContextual"/>
    </w:rPr>
  </w:style>
  <w:style w:type="paragraph" w:styleId="ac">
    <w:name w:val="header"/>
    <w:basedOn w:val="a"/>
    <w:link w:val="ad"/>
    <w:uiPriority w:val="99"/>
    <w:unhideWhenUsed/>
    <w:rsid w:val="00EE5531"/>
    <w:pPr>
      <w:tabs>
        <w:tab w:val="center" w:pos="4513"/>
        <w:tab w:val="right" w:pos="9026"/>
      </w:tabs>
    </w:pPr>
  </w:style>
  <w:style w:type="character" w:customStyle="1" w:styleId="ad">
    <w:name w:val="Верхний колонтитул Знак"/>
    <w:basedOn w:val="a0"/>
    <w:link w:val="ac"/>
    <w:uiPriority w:val="99"/>
    <w:rsid w:val="00EE5531"/>
    <w:rPr>
      <w:rFonts w:ascii="Courier New" w:eastAsia="Courier New" w:hAnsi="Courier New" w:cs="Courier New"/>
      <w:color w:val="000000"/>
      <w:kern w:val="0"/>
      <w:lang w:val="en-GB" w:eastAsia="en-GB" w:bidi="en-GB"/>
      <w14:ligatures w14:val="none"/>
    </w:rPr>
  </w:style>
  <w:style w:type="paragraph" w:styleId="ae">
    <w:name w:val="footer"/>
    <w:basedOn w:val="a"/>
    <w:link w:val="af"/>
    <w:uiPriority w:val="99"/>
    <w:unhideWhenUsed/>
    <w:rsid w:val="00EE5531"/>
    <w:pPr>
      <w:tabs>
        <w:tab w:val="center" w:pos="4513"/>
        <w:tab w:val="right" w:pos="9026"/>
      </w:tabs>
    </w:pPr>
  </w:style>
  <w:style w:type="character" w:customStyle="1" w:styleId="af">
    <w:name w:val="Нижний колонтитул Знак"/>
    <w:basedOn w:val="a0"/>
    <w:link w:val="ae"/>
    <w:uiPriority w:val="99"/>
    <w:rsid w:val="00EE5531"/>
    <w:rPr>
      <w:rFonts w:ascii="Courier New" w:eastAsia="Courier New" w:hAnsi="Courier New" w:cs="Courier New"/>
      <w:color w:val="000000"/>
      <w:kern w:val="0"/>
      <w:lang w:val="en-GB" w:eastAsia="en-GB" w:bidi="en-GB"/>
      <w14:ligatures w14:val="none"/>
    </w:rPr>
  </w:style>
  <w:style w:type="paragraph" w:styleId="af0">
    <w:name w:val="footnote text"/>
    <w:basedOn w:val="a"/>
    <w:link w:val="af1"/>
    <w:uiPriority w:val="99"/>
    <w:semiHidden/>
    <w:unhideWhenUsed/>
    <w:rsid w:val="00EE5531"/>
    <w:rPr>
      <w:sz w:val="20"/>
      <w:szCs w:val="20"/>
    </w:rPr>
  </w:style>
  <w:style w:type="character" w:customStyle="1" w:styleId="af1">
    <w:name w:val="Текст сноски Знак"/>
    <w:basedOn w:val="a0"/>
    <w:link w:val="af0"/>
    <w:uiPriority w:val="99"/>
    <w:semiHidden/>
    <w:rsid w:val="00EE5531"/>
    <w:rPr>
      <w:rFonts w:ascii="Courier New" w:eastAsia="Courier New" w:hAnsi="Courier New" w:cs="Courier New"/>
      <w:color w:val="000000"/>
      <w:kern w:val="0"/>
      <w:sz w:val="20"/>
      <w:szCs w:val="20"/>
      <w:lang w:val="en-GB" w:eastAsia="en-GB" w:bidi="en-GB"/>
      <w14:ligatures w14:val="none"/>
    </w:rPr>
  </w:style>
  <w:style w:type="character" w:styleId="af2">
    <w:name w:val="footnote reference"/>
    <w:basedOn w:val="a0"/>
    <w:uiPriority w:val="99"/>
    <w:semiHidden/>
    <w:unhideWhenUsed/>
    <w:rsid w:val="00EE5531"/>
    <w:rPr>
      <w:vertAlign w:val="superscript"/>
    </w:rPr>
  </w:style>
  <w:style w:type="character" w:styleId="af3">
    <w:name w:val="annotation reference"/>
    <w:basedOn w:val="a0"/>
    <w:uiPriority w:val="99"/>
    <w:semiHidden/>
    <w:unhideWhenUsed/>
    <w:rsid w:val="00EE5531"/>
    <w:rPr>
      <w:sz w:val="16"/>
      <w:szCs w:val="16"/>
    </w:rPr>
  </w:style>
  <w:style w:type="paragraph" w:styleId="af4">
    <w:name w:val="annotation text"/>
    <w:basedOn w:val="a"/>
    <w:link w:val="af5"/>
    <w:uiPriority w:val="99"/>
    <w:unhideWhenUsed/>
    <w:rsid w:val="00EE5531"/>
    <w:rPr>
      <w:sz w:val="20"/>
      <w:szCs w:val="20"/>
    </w:rPr>
  </w:style>
  <w:style w:type="character" w:customStyle="1" w:styleId="af5">
    <w:name w:val="Текст примечания Знак"/>
    <w:basedOn w:val="a0"/>
    <w:link w:val="af4"/>
    <w:uiPriority w:val="99"/>
    <w:rsid w:val="00EE5531"/>
    <w:rPr>
      <w:rFonts w:ascii="Courier New" w:eastAsia="Courier New" w:hAnsi="Courier New" w:cs="Courier New"/>
      <w:color w:val="000000"/>
      <w:kern w:val="0"/>
      <w:sz w:val="20"/>
      <w:szCs w:val="20"/>
      <w:lang w:val="en-GB" w:eastAsia="en-GB" w:bidi="en-GB"/>
      <w14:ligatures w14:val="none"/>
    </w:rPr>
  </w:style>
  <w:style w:type="paragraph" w:styleId="af6">
    <w:name w:val="annotation subject"/>
    <w:basedOn w:val="af4"/>
    <w:next w:val="af4"/>
    <w:link w:val="af7"/>
    <w:uiPriority w:val="99"/>
    <w:semiHidden/>
    <w:unhideWhenUsed/>
    <w:rsid w:val="00EE5531"/>
    <w:rPr>
      <w:b/>
      <w:bCs/>
    </w:rPr>
  </w:style>
  <w:style w:type="character" w:customStyle="1" w:styleId="af7">
    <w:name w:val="Тема примечания Знак"/>
    <w:basedOn w:val="af5"/>
    <w:link w:val="af6"/>
    <w:uiPriority w:val="99"/>
    <w:semiHidden/>
    <w:rsid w:val="00EE5531"/>
    <w:rPr>
      <w:rFonts w:ascii="Courier New" w:eastAsia="Courier New" w:hAnsi="Courier New" w:cs="Courier New"/>
      <w:b/>
      <w:bCs/>
      <w:color w:val="000000"/>
      <w:kern w:val="0"/>
      <w:sz w:val="20"/>
      <w:szCs w:val="20"/>
      <w:lang w:val="en-GB" w:eastAsia="en-GB" w:bidi="en-GB"/>
      <w14:ligatures w14:val="none"/>
    </w:rPr>
  </w:style>
  <w:style w:type="paragraph" w:styleId="af8">
    <w:name w:val="Balloon Text"/>
    <w:basedOn w:val="a"/>
    <w:link w:val="af9"/>
    <w:uiPriority w:val="99"/>
    <w:semiHidden/>
    <w:unhideWhenUsed/>
    <w:rsid w:val="00EE5531"/>
    <w:rPr>
      <w:rFonts w:ascii="Segoe UI" w:hAnsi="Segoe UI" w:cs="Segoe UI"/>
      <w:sz w:val="18"/>
      <w:szCs w:val="18"/>
    </w:rPr>
  </w:style>
  <w:style w:type="character" w:customStyle="1" w:styleId="af9">
    <w:name w:val="Текст выноски Знак"/>
    <w:basedOn w:val="a0"/>
    <w:link w:val="af8"/>
    <w:uiPriority w:val="99"/>
    <w:semiHidden/>
    <w:rsid w:val="00EE5531"/>
    <w:rPr>
      <w:rFonts w:ascii="Segoe UI" w:eastAsia="Courier New" w:hAnsi="Segoe UI" w:cs="Segoe UI"/>
      <w:color w:val="000000"/>
      <w:kern w:val="0"/>
      <w:sz w:val="18"/>
      <w:szCs w:val="18"/>
      <w:lang w:val="en-GB" w:eastAsia="en-GB" w:bidi="en-GB"/>
      <w14:ligatures w14:val="none"/>
    </w:rPr>
  </w:style>
  <w:style w:type="paragraph" w:customStyle="1" w:styleId="wText">
    <w:name w:val="wText"/>
    <w:basedOn w:val="a"/>
    <w:link w:val="wTextChar"/>
    <w:uiPriority w:val="3"/>
    <w:qFormat/>
    <w:rsid w:val="00EE5531"/>
    <w:pPr>
      <w:widowControl/>
      <w:spacing w:after="180"/>
      <w:jc w:val="both"/>
    </w:pPr>
    <w:rPr>
      <w:rFonts w:ascii="Times New Roman" w:eastAsia="Times New Roman" w:hAnsi="Times New Roman" w:cs="Times New Roman"/>
      <w:bCs/>
      <w:color w:val="auto"/>
      <w:sz w:val="22"/>
      <w:szCs w:val="20"/>
      <w:lang w:eastAsia="en-US" w:bidi="ar-SA"/>
    </w:rPr>
  </w:style>
  <w:style w:type="character" w:customStyle="1" w:styleId="wTextChar">
    <w:name w:val="wText Char"/>
    <w:basedOn w:val="a0"/>
    <w:link w:val="wText"/>
    <w:uiPriority w:val="3"/>
    <w:rsid w:val="00EE5531"/>
    <w:rPr>
      <w:rFonts w:ascii="Times New Roman" w:eastAsia="Times New Roman" w:hAnsi="Times New Roman" w:cs="Times New Roman"/>
      <w:bCs/>
      <w:kern w:val="0"/>
      <w:sz w:val="22"/>
      <w:szCs w:val="20"/>
      <w:lang w:val="en-GB"/>
      <w14:ligatures w14:val="none"/>
    </w:rPr>
  </w:style>
  <w:style w:type="paragraph" w:customStyle="1" w:styleId="DraftLineWC">
    <w:name w:val="DraftLineW&amp;C"/>
    <w:basedOn w:val="a"/>
    <w:uiPriority w:val="99"/>
    <w:semiHidden/>
    <w:rsid w:val="00EE5531"/>
    <w:pPr>
      <w:framePr w:w="5328" w:hSpace="187" w:vSpace="187" w:wrap="around" w:vAnchor="page" w:hAnchor="page" w:x="5761" w:y="721"/>
      <w:widowControl/>
      <w:jc w:val="right"/>
    </w:pPr>
    <w:rPr>
      <w:rFonts w:ascii="Times New Roman" w:eastAsia="Times New Roman" w:hAnsi="Times New Roman" w:cs="Times New Roman"/>
      <w:color w:val="auto"/>
      <w:sz w:val="20"/>
      <w:lang w:val="en-US" w:eastAsia="en-US" w:bidi="ar-SA"/>
    </w:rPr>
  </w:style>
  <w:style w:type="paragraph" w:customStyle="1" w:styleId="WCPageNumber">
    <w:name w:val="WCPageNumber"/>
    <w:basedOn w:val="Tablecaption0"/>
    <w:link w:val="WCPageNumberChar"/>
    <w:rsid w:val="00EE5531"/>
    <w:pPr>
      <w:spacing w:before="180" w:after="180"/>
    </w:pPr>
    <w:rPr>
      <w:rFonts w:ascii="Times New Roman" w:hAnsi="Times New Roman" w:cs="Times New Roman"/>
      <w:szCs w:val="18"/>
    </w:rPr>
  </w:style>
  <w:style w:type="character" w:customStyle="1" w:styleId="WCPageNumberChar">
    <w:name w:val="WCPageNumber Char"/>
    <w:basedOn w:val="Tablecaption"/>
    <w:link w:val="WCPageNumber"/>
    <w:rsid w:val="00EE5531"/>
    <w:rPr>
      <w:rFonts w:ascii="Times New Roman" w:eastAsia="Arial" w:hAnsi="Times New Roman" w:cs="Times New Roman"/>
      <w:b/>
      <w:bCs/>
      <w:color w:val="1F497D"/>
      <w:sz w:val="20"/>
      <w:szCs w:val="18"/>
    </w:rPr>
  </w:style>
  <w:style w:type="table" w:styleId="afa">
    <w:name w:val="Table Grid"/>
    <w:basedOn w:val="a1"/>
    <w:uiPriority w:val="39"/>
    <w:rsid w:val="00EE5531"/>
    <w:pPr>
      <w:widowControl w:val="0"/>
      <w:spacing w:after="0" w:line="240" w:lineRule="auto"/>
    </w:pPr>
    <w:rPr>
      <w:rFonts w:ascii="Courier New" w:eastAsia="Courier New" w:hAnsi="Courier New" w:cs="Courier New"/>
      <w:kern w:val="0"/>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lock1">
    <w:name w:val="wBlock1"/>
    <w:basedOn w:val="a"/>
    <w:uiPriority w:val="6"/>
    <w:qFormat/>
    <w:rsid w:val="00EE5531"/>
    <w:pPr>
      <w:widowControl/>
      <w:spacing w:after="180"/>
      <w:ind w:left="720" w:right="720"/>
      <w:jc w:val="both"/>
    </w:pPr>
    <w:rPr>
      <w:rFonts w:ascii="Times New Roman" w:eastAsia="MS Mincho" w:hAnsi="Times New Roman" w:cs="Times New Roman"/>
      <w:color w:val="auto"/>
      <w:sz w:val="22"/>
      <w:szCs w:val="22"/>
      <w:lang w:eastAsia="en-US" w:bidi="ar-SA"/>
    </w:rPr>
  </w:style>
  <w:style w:type="character" w:customStyle="1" w:styleId="normaltextrun">
    <w:name w:val="normaltextrun"/>
    <w:basedOn w:val="a0"/>
    <w:rsid w:val="00EE5531"/>
  </w:style>
  <w:style w:type="character" w:customStyle="1" w:styleId="spellingerror">
    <w:name w:val="spellingerror"/>
    <w:basedOn w:val="a0"/>
    <w:rsid w:val="00EE5531"/>
  </w:style>
  <w:style w:type="character" w:customStyle="1" w:styleId="advancedproofingissue">
    <w:name w:val="advancedproofingissue"/>
    <w:basedOn w:val="a0"/>
    <w:rsid w:val="00EE5531"/>
  </w:style>
  <w:style w:type="character" w:customStyle="1" w:styleId="contextualspellingandgrammarerror">
    <w:name w:val="contextualspellingandgrammarerror"/>
    <w:basedOn w:val="a0"/>
    <w:rsid w:val="00EE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3859</Words>
  <Characters>21998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Kumar</dc:creator>
  <cp:keywords/>
  <dc:description/>
  <cp:lastModifiedBy>next nout</cp:lastModifiedBy>
  <cp:revision>1</cp:revision>
  <dcterms:created xsi:type="dcterms:W3CDTF">2025-10-22T13:23:00Z</dcterms:created>
  <dcterms:modified xsi:type="dcterms:W3CDTF">2025-10-22T13:23:00Z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2025-10-06T19:53:52Z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1d25491c-4272-409f-af41-698e6894a7e5</vt:lpwstr>
  </property>
  <property fmtid="{D5CDD505-2E9C-101B-9397-08002B2CF9AE}" pid="8" name="MSIP_Label_9d44f3f8-b957-4663-b91e-426018f7b4e3_ContentBits">
    <vt:lpwstr>0</vt:lpwstr>
  </property>
  <property fmtid="{D5CDD505-2E9C-101B-9397-08002B2CF9AE}" pid="9" name="MSIP_Label_9d44f3f8-b957-4663-b91e-426018f7b4e3_Tag">
    <vt:lpwstr>10, 0, 1, 1</vt:lpwstr>
  </property>
</Properties>
</file>