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71" w:rsidRDefault="00216071" w:rsidP="00216071">
      <w:pPr>
        <w:pBdr>
          <w:top w:val="nil"/>
          <w:left w:val="nil"/>
          <w:bottom w:val="nil"/>
          <w:right w:val="nil"/>
          <w:between w:val="nil"/>
        </w:pBdr>
        <w:spacing w:before="180" w:after="180"/>
        <w:jc w:val="center"/>
        <w:rPr>
          <w:rFonts w:ascii="Arial" w:eastAsia="Arial" w:hAnsi="Arial" w:cs="Arial"/>
          <w:b/>
          <w:sz w:val="20"/>
          <w:szCs w:val="20"/>
        </w:rPr>
      </w:pPr>
    </w:p>
    <w:p w:rsidR="00216071" w:rsidRDefault="00216071" w:rsidP="00216071">
      <w:pPr>
        <w:pBdr>
          <w:top w:val="nil"/>
          <w:left w:val="nil"/>
          <w:bottom w:val="nil"/>
          <w:right w:val="nil"/>
          <w:between w:val="nil"/>
        </w:pBdr>
        <w:spacing w:before="180" w:after="180"/>
        <w:jc w:val="center"/>
        <w:rPr>
          <w:rFonts w:ascii="Arial" w:eastAsia="Arial" w:hAnsi="Arial" w:cs="Arial"/>
          <w:b/>
          <w:sz w:val="20"/>
          <w:szCs w:val="20"/>
        </w:rPr>
      </w:pPr>
      <w:r>
        <w:rPr>
          <w:rFonts w:ascii="Arial" w:eastAsia="Arial" w:hAnsi="Arial" w:cs="Arial"/>
          <w:b/>
          <w:sz w:val="20"/>
          <w:szCs w:val="20"/>
        </w:rPr>
        <w:t xml:space="preserve">CHECKLIST OF AIFC COLLECTIVE INVESTMENT SCHEME (“AIFC CIS”) REQUIREMENTS </w:t>
      </w:r>
    </w:p>
    <w:p w:rsidR="00216071" w:rsidRDefault="00216071" w:rsidP="00216071">
      <w:pPr>
        <w:pBdr>
          <w:top w:val="nil"/>
          <w:left w:val="nil"/>
          <w:bottom w:val="nil"/>
          <w:right w:val="nil"/>
          <w:between w:val="nil"/>
        </w:pBdr>
        <w:spacing w:before="180" w:after="180"/>
        <w:jc w:val="center"/>
        <w:rPr>
          <w:rFonts w:ascii="Arial" w:eastAsia="Arial" w:hAnsi="Arial" w:cs="Arial"/>
          <w:b/>
          <w:sz w:val="20"/>
          <w:szCs w:val="20"/>
        </w:rPr>
      </w:pPr>
      <w:r>
        <w:rPr>
          <w:rFonts w:ascii="Arial" w:eastAsia="Arial" w:hAnsi="Arial" w:cs="Arial"/>
          <w:b/>
          <w:sz w:val="20"/>
          <w:szCs w:val="20"/>
        </w:rPr>
        <w:t>FOR THE CONTENTS OF OFFERING MATERIALS</w:t>
      </w:r>
    </w:p>
    <w:p w:rsidR="00216071" w:rsidRDefault="00216071" w:rsidP="00216071">
      <w:pPr>
        <w:pBdr>
          <w:top w:val="nil"/>
          <w:left w:val="nil"/>
          <w:bottom w:val="nil"/>
          <w:right w:val="nil"/>
          <w:between w:val="nil"/>
        </w:pBdr>
        <w:spacing w:before="180" w:after="180"/>
        <w:rPr>
          <w:rFonts w:ascii="Arial" w:eastAsia="Arial" w:hAnsi="Arial" w:cs="Arial"/>
          <w:b/>
          <w:sz w:val="20"/>
          <w:szCs w:val="20"/>
        </w:rPr>
      </w:pPr>
    </w:p>
    <w:p w:rsidR="00216071" w:rsidRDefault="00216071" w:rsidP="00216071">
      <w:pPr>
        <w:pBdr>
          <w:top w:val="nil"/>
          <w:left w:val="nil"/>
          <w:bottom w:val="nil"/>
          <w:right w:val="nil"/>
          <w:between w:val="nil"/>
        </w:pBdr>
        <w:spacing w:before="180" w:after="180"/>
        <w:rPr>
          <w:rFonts w:ascii="Arial" w:eastAsia="Arial" w:hAnsi="Arial" w:cs="Arial"/>
          <w:b/>
          <w:sz w:val="20"/>
          <w:szCs w:val="20"/>
        </w:rPr>
      </w:pPr>
      <w:r w:rsidRPr="008F709B">
        <w:rPr>
          <w:rFonts w:ascii="Arial" w:eastAsia="Arial" w:hAnsi="Arial" w:cs="Arial"/>
          <w:b/>
          <w:sz w:val="20"/>
          <w:szCs w:val="20"/>
        </w:rPr>
        <w:t>5.3. Content requirements for Offering Materials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7197"/>
        <w:gridCol w:w="1595"/>
      </w:tblGrid>
      <w:tr w:rsidR="00216071" w:rsidTr="00F5656A">
        <w:tc>
          <w:tcPr>
            <w:tcW w:w="701" w:type="dxa"/>
            <w:shd w:val="clear" w:color="auto" w:fill="0F4761" w:themeFill="accent1" w:themeFillShade="BF"/>
          </w:tcPr>
          <w:p w:rsidR="00216071" w:rsidRDefault="00216071" w:rsidP="00F5656A">
            <w:pPr>
              <w:pBdr>
                <w:top w:val="nil"/>
                <w:left w:val="nil"/>
                <w:bottom w:val="nil"/>
                <w:right w:val="nil"/>
                <w:between w:val="nil"/>
              </w:pBdr>
              <w:spacing w:before="180" w:after="180"/>
              <w:rPr>
                <w:rFonts w:ascii="Arial" w:eastAsia="Arial" w:hAnsi="Arial" w:cs="Arial"/>
                <w:b/>
                <w:color w:val="FFFFFF"/>
                <w:sz w:val="20"/>
                <w:szCs w:val="20"/>
              </w:rPr>
            </w:pPr>
          </w:p>
        </w:tc>
        <w:tc>
          <w:tcPr>
            <w:tcW w:w="7197" w:type="dxa"/>
            <w:shd w:val="clear" w:color="auto" w:fill="0F4761" w:themeFill="accent1" w:themeFillShade="BF"/>
          </w:tcPr>
          <w:p w:rsidR="00216071" w:rsidRDefault="00216071" w:rsidP="00F5656A">
            <w:pPr>
              <w:pBdr>
                <w:top w:val="nil"/>
                <w:left w:val="nil"/>
                <w:bottom w:val="nil"/>
                <w:right w:val="nil"/>
                <w:between w:val="nil"/>
              </w:pBdr>
              <w:spacing w:before="180" w:after="180"/>
              <w:rPr>
                <w:rFonts w:ascii="Arial" w:eastAsia="Arial" w:hAnsi="Arial" w:cs="Arial"/>
                <w:b/>
                <w:color w:val="FFFFFF"/>
                <w:sz w:val="20"/>
                <w:szCs w:val="20"/>
              </w:rPr>
            </w:pPr>
            <w:r>
              <w:rPr>
                <w:rFonts w:ascii="Arial" w:eastAsia="Arial" w:hAnsi="Arial" w:cs="Arial"/>
                <w:b/>
                <w:color w:val="FFFFFF"/>
                <w:sz w:val="20"/>
                <w:szCs w:val="20"/>
              </w:rPr>
              <w:t>CONTENTS</w:t>
            </w:r>
          </w:p>
        </w:tc>
        <w:tc>
          <w:tcPr>
            <w:tcW w:w="1595" w:type="dxa"/>
            <w:shd w:val="clear" w:color="auto" w:fill="0F4761" w:themeFill="accent1" w:themeFillShade="BF"/>
          </w:tcPr>
          <w:p w:rsidR="00216071" w:rsidRDefault="00216071" w:rsidP="00F5656A">
            <w:pPr>
              <w:pBdr>
                <w:top w:val="nil"/>
                <w:left w:val="nil"/>
                <w:bottom w:val="nil"/>
                <w:right w:val="nil"/>
                <w:between w:val="nil"/>
              </w:pBdr>
              <w:spacing w:before="180" w:after="180"/>
              <w:rPr>
                <w:rFonts w:ascii="Arial" w:eastAsia="Arial" w:hAnsi="Arial" w:cs="Arial"/>
                <w:b/>
                <w:color w:val="FFFFFF"/>
                <w:sz w:val="20"/>
                <w:szCs w:val="20"/>
              </w:rPr>
            </w:pPr>
            <w:r>
              <w:rPr>
                <w:rFonts w:ascii="Arial" w:eastAsia="Arial" w:hAnsi="Arial" w:cs="Arial"/>
                <w:b/>
                <w:color w:val="FFFFFF"/>
                <w:sz w:val="20"/>
                <w:szCs w:val="20"/>
              </w:rPr>
              <w:t>Section of Offering Materials (page)</w:t>
            </w:r>
            <w:r>
              <w:rPr>
                <w:rFonts w:ascii="Arial" w:eastAsia="Arial" w:hAnsi="Arial" w:cs="Arial"/>
                <w:b/>
                <w:color w:val="FFFFFF"/>
                <w:sz w:val="20"/>
                <w:szCs w:val="20"/>
                <w:vertAlign w:val="superscript"/>
              </w:rPr>
              <w:footnoteReference w:id="1"/>
            </w: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Pr>
                <w:rFonts w:ascii="Arial" w:eastAsia="Arial" w:hAnsi="Arial" w:cs="Arial"/>
                <w:b/>
                <w:sz w:val="20"/>
                <w:szCs w:val="20"/>
              </w:rPr>
              <w:t>No</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b/>
                <w:sz w:val="20"/>
                <w:szCs w:val="20"/>
              </w:rPr>
            </w:pPr>
            <w:r>
              <w:rPr>
                <w:rFonts w:ascii="Arial" w:eastAsia="Arial" w:hAnsi="Arial" w:cs="Arial"/>
                <w:b/>
                <w:sz w:val="20"/>
                <w:szCs w:val="20"/>
              </w:rPr>
              <w:t>General Requirements</w:t>
            </w:r>
          </w:p>
        </w:tc>
        <w:tc>
          <w:tcPr>
            <w:tcW w:w="1595"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(i)</w:t>
            </w:r>
          </w:p>
        </w:tc>
        <w:tc>
          <w:tcPr>
            <w:tcW w:w="7197" w:type="dxa"/>
          </w:tcPr>
          <w:p w:rsidR="00216071" w:rsidRPr="00CA5611" w:rsidRDefault="00216071" w:rsidP="00F5656A">
            <w:pPr>
              <w:pBdr>
                <w:top w:val="nil"/>
                <w:left w:val="nil"/>
                <w:bottom w:val="nil"/>
                <w:right w:val="nil"/>
                <w:between w:val="nil"/>
              </w:pBdr>
              <w:jc w:val="both"/>
              <w:rPr>
                <w:rFonts w:ascii="Arial" w:eastAsia="Arial" w:hAnsi="Arial" w:cs="Arial"/>
                <w:sz w:val="20"/>
                <w:szCs w:val="20"/>
              </w:rPr>
            </w:pPr>
            <w:r w:rsidRPr="00CA5611">
              <w:rPr>
                <w:rFonts w:ascii="Arial" w:eastAsia="Arial" w:hAnsi="Arial" w:cs="Arial"/>
                <w:sz w:val="20"/>
                <w:szCs w:val="20"/>
              </w:rPr>
              <w:t>(i) a description of the investment objective, policy and strategy of the Fund,</w:t>
            </w:r>
          </w:p>
          <w:p w:rsidR="00216071" w:rsidRPr="00CA5611" w:rsidRDefault="00216071" w:rsidP="00F5656A">
            <w:pPr>
              <w:pBdr>
                <w:top w:val="nil"/>
                <w:left w:val="nil"/>
                <w:bottom w:val="nil"/>
                <w:right w:val="nil"/>
                <w:between w:val="nil"/>
              </w:pBdr>
              <w:jc w:val="both"/>
              <w:rPr>
                <w:rFonts w:ascii="Arial" w:eastAsia="Arial" w:hAnsi="Arial" w:cs="Arial"/>
                <w:sz w:val="20"/>
                <w:szCs w:val="20"/>
              </w:rPr>
            </w:pPr>
            <w:r w:rsidRPr="00CA5611">
              <w:rPr>
                <w:rFonts w:ascii="Arial" w:eastAsia="Arial" w:hAnsi="Arial" w:cs="Arial"/>
                <w:sz w:val="20"/>
                <w:szCs w:val="20"/>
              </w:rPr>
              <w:t>information on where any master fund is established and where the underlying</w:t>
            </w:r>
          </w:p>
          <w:p w:rsidR="00216071" w:rsidRDefault="00216071" w:rsidP="00F5656A">
            <w:pPr>
              <w:pBdr>
                <w:top w:val="nil"/>
                <w:left w:val="nil"/>
                <w:bottom w:val="nil"/>
                <w:right w:val="nil"/>
                <w:between w:val="nil"/>
              </w:pBdr>
              <w:jc w:val="both"/>
              <w:rPr>
                <w:rFonts w:ascii="Arial" w:eastAsia="Arial" w:hAnsi="Arial" w:cs="Arial"/>
                <w:sz w:val="20"/>
                <w:szCs w:val="20"/>
              </w:rPr>
            </w:pPr>
            <w:r w:rsidRPr="00CA5611">
              <w:rPr>
                <w:rFonts w:ascii="Arial" w:eastAsia="Arial" w:hAnsi="Arial" w:cs="Arial"/>
                <w:sz w:val="20"/>
                <w:szCs w:val="20"/>
              </w:rPr>
              <w:t>funds are established if the Fund is a fund of funds, a description of the types of</w:t>
            </w:r>
            <w:r>
              <w:rPr>
                <w:rFonts w:ascii="Arial" w:eastAsia="Arial" w:hAnsi="Arial" w:cs="Arial"/>
                <w:sz w:val="20"/>
                <w:szCs w:val="20"/>
              </w:rPr>
              <w:t xml:space="preserve"> </w:t>
            </w:r>
            <w:r w:rsidRPr="005120C7">
              <w:rPr>
                <w:rFonts w:ascii="Arial" w:eastAsia="Arial" w:hAnsi="Arial" w:cs="Arial"/>
                <w:sz w:val="20"/>
                <w:szCs w:val="20"/>
              </w:rPr>
              <w:t>assets in which the Fund may invest, the techniques it may employ and all associated risks, any applicable investment restrictions, the circumstances in which the Fund may use leverage, the types and sources of leverage permitted and the associated risks, any restrictions on the use of leverage and any collateral and asset reuse arrangements, and the maximum level of leverage which the Fund may utilise;</w:t>
            </w:r>
          </w:p>
        </w:tc>
        <w:tc>
          <w:tcPr>
            <w:tcW w:w="1595" w:type="dxa"/>
          </w:tcPr>
          <w:p w:rsidR="00216071" w:rsidRPr="00ED139E" w:rsidRDefault="00216071" w:rsidP="00F5656A">
            <w:pPr>
              <w:spacing w:before="180" w:after="180"/>
              <w:jc w:val="both"/>
              <w:rPr>
                <w:rFonts w:ascii="Arial" w:eastAsia="Arial" w:hAnsi="Arial" w:cs="Arial"/>
                <w:sz w:val="20"/>
                <w:szCs w:val="20"/>
                <w:lang w:val="en-US"/>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(i</w:t>
            </w:r>
            <w:r>
              <w:rPr>
                <w:rFonts w:ascii="Arial" w:eastAsia="Arial" w:hAnsi="Arial" w:cs="Arial"/>
                <w:b/>
                <w:sz w:val="20"/>
                <w:szCs w:val="20"/>
              </w:rPr>
              <w:t>i</w:t>
            </w:r>
            <w:r w:rsidRPr="005120C7">
              <w:rPr>
                <w:rFonts w:ascii="Arial" w:eastAsia="Arial" w:hAnsi="Arial" w:cs="Arial"/>
                <w:b/>
                <w:sz w:val="20"/>
                <w:szCs w:val="20"/>
              </w:rPr>
              <w:t>)</w:t>
            </w:r>
          </w:p>
        </w:tc>
        <w:tc>
          <w:tcPr>
            <w:tcW w:w="7197" w:type="dxa"/>
          </w:tcPr>
          <w:p w:rsidR="00216071" w:rsidRPr="000E1D1C" w:rsidRDefault="00216071" w:rsidP="00F5656A">
            <w:pPr>
              <w:pBdr>
                <w:top w:val="nil"/>
                <w:left w:val="nil"/>
                <w:bottom w:val="nil"/>
                <w:right w:val="nil"/>
                <w:between w:val="nil"/>
              </w:pBdr>
              <w:jc w:val="both"/>
              <w:rPr>
                <w:rFonts w:ascii="Arial" w:eastAsia="Arial" w:hAnsi="Arial" w:cs="Arial"/>
                <w:sz w:val="20"/>
                <w:szCs w:val="20"/>
              </w:rPr>
            </w:pPr>
            <w:r w:rsidRPr="000E1D1C">
              <w:rPr>
                <w:rFonts w:ascii="Arial" w:eastAsia="Arial" w:hAnsi="Arial" w:cs="Arial"/>
                <w:sz w:val="20"/>
                <w:szCs w:val="20"/>
              </w:rPr>
              <w:t>a description of the procedures by which the Fund may change its investment</w:t>
            </w:r>
          </w:p>
          <w:p w:rsidR="00216071" w:rsidRDefault="00216071" w:rsidP="00F5656A">
            <w:pPr>
              <w:pBdr>
                <w:top w:val="nil"/>
                <w:left w:val="nil"/>
                <w:bottom w:val="nil"/>
                <w:right w:val="nil"/>
                <w:between w:val="nil"/>
              </w:pBdr>
              <w:jc w:val="both"/>
              <w:rPr>
                <w:rFonts w:ascii="Arial" w:eastAsia="Arial" w:hAnsi="Arial" w:cs="Arial"/>
                <w:sz w:val="20"/>
                <w:szCs w:val="20"/>
              </w:rPr>
            </w:pPr>
            <w:r w:rsidRPr="000E1D1C">
              <w:rPr>
                <w:rFonts w:ascii="Arial" w:eastAsia="Arial" w:hAnsi="Arial" w:cs="Arial"/>
                <w:sz w:val="20"/>
                <w:szCs w:val="20"/>
              </w:rPr>
              <w:t>strategy or investment policy, or both;</w:t>
            </w:r>
          </w:p>
        </w:tc>
        <w:tc>
          <w:tcPr>
            <w:tcW w:w="1595" w:type="dxa"/>
          </w:tcPr>
          <w:p w:rsidR="00216071" w:rsidRPr="00ED139E" w:rsidRDefault="00216071" w:rsidP="00F5656A">
            <w:pPr>
              <w:spacing w:before="180" w:after="180"/>
              <w:jc w:val="both"/>
              <w:rPr>
                <w:rFonts w:ascii="Arial" w:eastAsia="Arial" w:hAnsi="Arial" w:cs="Arial"/>
                <w:sz w:val="20"/>
                <w:szCs w:val="20"/>
                <w:lang w:val="en-US"/>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(i</w:t>
            </w:r>
            <w:r>
              <w:rPr>
                <w:rFonts w:ascii="Arial" w:eastAsia="Arial" w:hAnsi="Arial" w:cs="Arial"/>
                <w:b/>
                <w:sz w:val="20"/>
                <w:szCs w:val="20"/>
              </w:rPr>
              <w:t>ii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E2D74">
              <w:rPr>
                <w:rFonts w:ascii="Arial" w:eastAsia="Arial" w:hAnsi="Arial" w:cs="Arial"/>
                <w:sz w:val="20"/>
                <w:szCs w:val="20"/>
              </w:rPr>
              <w:t>a description of the main legal implications of the contractual relationship entered</w:t>
            </w:r>
            <w:r>
              <w:rPr>
                <w:rFonts w:ascii="Arial" w:eastAsia="Arial" w:hAnsi="Arial" w:cs="Arial"/>
                <w:sz w:val="20"/>
                <w:szCs w:val="20"/>
              </w:rPr>
              <w:t xml:space="preserve"> </w:t>
            </w:r>
            <w:r w:rsidRPr="007E2D74">
              <w:rPr>
                <w:rFonts w:ascii="Arial" w:eastAsia="Arial" w:hAnsi="Arial" w:cs="Arial"/>
                <w:sz w:val="20"/>
                <w:szCs w:val="20"/>
              </w:rPr>
              <w:t>into for the purpose of investment, including information on jurisdiction, on the</w:t>
            </w:r>
            <w:r>
              <w:rPr>
                <w:rFonts w:ascii="Arial" w:eastAsia="Arial" w:hAnsi="Arial" w:cs="Arial"/>
                <w:sz w:val="20"/>
                <w:szCs w:val="20"/>
              </w:rPr>
              <w:t xml:space="preserve"> </w:t>
            </w:r>
            <w:r w:rsidRPr="007E2D74">
              <w:rPr>
                <w:rFonts w:ascii="Arial" w:eastAsia="Arial" w:hAnsi="Arial" w:cs="Arial"/>
                <w:sz w:val="20"/>
                <w:szCs w:val="20"/>
              </w:rPr>
              <w:t>applicable law and on the existence or not of any legal instruments providing for</w:t>
            </w:r>
            <w:r>
              <w:rPr>
                <w:rFonts w:ascii="Arial" w:eastAsia="Arial" w:hAnsi="Arial" w:cs="Arial"/>
                <w:sz w:val="20"/>
                <w:szCs w:val="20"/>
              </w:rPr>
              <w:t xml:space="preserve"> </w:t>
            </w:r>
            <w:r w:rsidRPr="007E2D74">
              <w:rPr>
                <w:rFonts w:ascii="Arial" w:eastAsia="Arial" w:hAnsi="Arial" w:cs="Arial"/>
                <w:sz w:val="20"/>
                <w:szCs w:val="20"/>
              </w:rPr>
              <w:t>the recognition and enforcement of judgments in the territory where the Fund is</w:t>
            </w:r>
            <w:r>
              <w:rPr>
                <w:rFonts w:ascii="Arial" w:eastAsia="Arial" w:hAnsi="Arial" w:cs="Arial"/>
                <w:sz w:val="20"/>
                <w:szCs w:val="20"/>
              </w:rPr>
              <w:t xml:space="preserve"> </w:t>
            </w:r>
            <w:r w:rsidRPr="007E2D74">
              <w:rPr>
                <w:rFonts w:ascii="Arial" w:eastAsia="Arial" w:hAnsi="Arial" w:cs="Arial"/>
                <w:sz w:val="20"/>
                <w:szCs w:val="20"/>
              </w:rPr>
              <w:t>established;</w:t>
            </w:r>
          </w:p>
        </w:tc>
        <w:tc>
          <w:tcPr>
            <w:tcW w:w="1595" w:type="dxa"/>
          </w:tcPr>
          <w:p w:rsidR="00216071" w:rsidRPr="00B11BDE" w:rsidRDefault="00216071" w:rsidP="00F5656A">
            <w:pPr>
              <w:spacing w:before="180" w:after="180"/>
              <w:jc w:val="both"/>
              <w:rPr>
                <w:rFonts w:ascii="Arial" w:eastAsia="Arial" w:hAnsi="Arial" w:cs="Arial"/>
                <w:sz w:val="20"/>
                <w:szCs w:val="20"/>
                <w:lang w:val="en-US"/>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(i</w:t>
            </w:r>
            <w:r>
              <w:rPr>
                <w:rFonts w:ascii="Arial" w:eastAsia="Arial" w:hAnsi="Arial" w:cs="Arial"/>
                <w:b/>
                <w:sz w:val="20"/>
                <w:szCs w:val="20"/>
              </w:rPr>
              <w:t>v</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A30D2A">
              <w:rPr>
                <w:rFonts w:ascii="Arial" w:eastAsia="Arial" w:hAnsi="Arial" w:cs="Arial"/>
                <w:sz w:val="20"/>
                <w:szCs w:val="20"/>
              </w:rPr>
              <w:t>the identity of the Fund Manager, custodian or depositary, auditor and any other</w:t>
            </w:r>
            <w:r>
              <w:rPr>
                <w:rFonts w:ascii="Arial" w:eastAsia="Arial" w:hAnsi="Arial" w:cs="Arial"/>
                <w:sz w:val="20"/>
                <w:szCs w:val="20"/>
              </w:rPr>
              <w:t xml:space="preserve"> </w:t>
            </w:r>
            <w:r w:rsidRPr="00A30D2A">
              <w:rPr>
                <w:rFonts w:ascii="Arial" w:eastAsia="Arial" w:hAnsi="Arial" w:cs="Arial"/>
                <w:sz w:val="20"/>
                <w:szCs w:val="20"/>
              </w:rPr>
              <w:t>service providers for the Fund and a description of their duties and Unitholder's</w:t>
            </w:r>
            <w:r>
              <w:rPr>
                <w:rFonts w:ascii="Arial" w:eastAsia="Arial" w:hAnsi="Arial" w:cs="Arial"/>
                <w:sz w:val="20"/>
                <w:szCs w:val="20"/>
              </w:rPr>
              <w:t xml:space="preserve"> </w:t>
            </w:r>
            <w:r w:rsidRPr="00A30D2A">
              <w:rPr>
                <w:rFonts w:ascii="Arial" w:eastAsia="Arial" w:hAnsi="Arial" w:cs="Arial"/>
                <w:sz w:val="20"/>
                <w:szCs w:val="20"/>
              </w:rPr>
              <w:t>rights in respect of those persons;</w:t>
            </w:r>
          </w:p>
        </w:tc>
        <w:tc>
          <w:tcPr>
            <w:tcW w:w="1595" w:type="dxa"/>
          </w:tcPr>
          <w:p w:rsidR="00216071" w:rsidRPr="0027467A"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v</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007A59">
              <w:rPr>
                <w:rFonts w:ascii="Arial" w:eastAsia="Arial" w:hAnsi="Arial" w:cs="Arial"/>
                <w:sz w:val="20"/>
                <w:szCs w:val="20"/>
              </w:rPr>
              <w:t>a description of any functions that have been delegated by the Fund Manager and</w:t>
            </w:r>
            <w:r>
              <w:rPr>
                <w:rFonts w:ascii="Arial" w:eastAsia="Arial" w:hAnsi="Arial" w:cs="Arial"/>
                <w:sz w:val="20"/>
                <w:szCs w:val="20"/>
              </w:rPr>
              <w:t xml:space="preserve"> </w:t>
            </w:r>
            <w:r w:rsidRPr="00007A59">
              <w:rPr>
                <w:rFonts w:ascii="Arial" w:eastAsia="Arial" w:hAnsi="Arial" w:cs="Arial"/>
                <w:sz w:val="20"/>
                <w:szCs w:val="20"/>
              </w:rPr>
              <w:t>any other of the Fund's service providers, the identification of each such delegate</w:t>
            </w:r>
            <w:r>
              <w:rPr>
                <w:rFonts w:ascii="Arial" w:eastAsia="Arial" w:hAnsi="Arial" w:cs="Arial"/>
                <w:sz w:val="20"/>
                <w:szCs w:val="20"/>
              </w:rPr>
              <w:t xml:space="preserve"> </w:t>
            </w:r>
            <w:r w:rsidRPr="00007A59">
              <w:rPr>
                <w:rFonts w:ascii="Arial" w:eastAsia="Arial" w:hAnsi="Arial" w:cs="Arial"/>
                <w:sz w:val="20"/>
                <w:szCs w:val="20"/>
              </w:rPr>
              <w:t>and any conflicts of interest that may arise from such delegations;</w:t>
            </w:r>
          </w:p>
        </w:tc>
        <w:tc>
          <w:tcPr>
            <w:tcW w:w="1595" w:type="dxa"/>
          </w:tcPr>
          <w:p w:rsidR="00216071" w:rsidRDefault="00216071" w:rsidP="00F5656A">
            <w:pPr>
              <w:spacing w:before="180" w:after="180"/>
              <w:jc w:val="both"/>
              <w:rPr>
                <w:rFonts w:ascii="Arial" w:eastAsia="Arial" w:hAnsi="Arial" w:cs="Arial"/>
                <w:sz w:val="20"/>
                <w:szCs w:val="20"/>
              </w:rPr>
            </w:pPr>
            <w:r>
              <w:rPr>
                <w:rFonts w:ascii="Arial" w:eastAsia="Arial" w:hAnsi="Arial" w:cs="Arial"/>
                <w:sz w:val="20"/>
                <w:szCs w:val="20"/>
              </w:rPr>
              <w:t xml:space="preserve"> </w:t>
            </w: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vi</w:t>
            </w:r>
            <w:r w:rsidRPr="005120C7">
              <w:rPr>
                <w:rFonts w:ascii="Arial" w:eastAsia="Arial" w:hAnsi="Arial" w:cs="Arial"/>
                <w:b/>
                <w:sz w:val="20"/>
                <w:szCs w:val="20"/>
              </w:rPr>
              <w:t>)</w:t>
            </w:r>
          </w:p>
        </w:tc>
        <w:tc>
          <w:tcPr>
            <w:tcW w:w="7197" w:type="dxa"/>
          </w:tcPr>
          <w:p w:rsidR="00216071" w:rsidRPr="00354772"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354772">
              <w:rPr>
                <w:rFonts w:ascii="Arial" w:eastAsia="Arial" w:hAnsi="Arial" w:cs="Arial"/>
                <w:sz w:val="20"/>
                <w:szCs w:val="20"/>
              </w:rPr>
              <w:t>a description of the Fund's valuation procedure and of the pricing methodology for valuing assets;</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vii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E2590">
              <w:rPr>
                <w:rFonts w:ascii="Arial" w:eastAsia="Arial" w:hAnsi="Arial" w:cs="Arial"/>
                <w:sz w:val="20"/>
                <w:szCs w:val="20"/>
              </w:rPr>
              <w:t>a description of the Fund's liquidity risk management, including the redemption</w:t>
            </w:r>
            <w:r>
              <w:rPr>
                <w:rFonts w:ascii="Arial" w:eastAsia="Arial" w:hAnsi="Arial" w:cs="Arial"/>
                <w:sz w:val="20"/>
                <w:szCs w:val="20"/>
              </w:rPr>
              <w:t xml:space="preserve"> </w:t>
            </w:r>
            <w:r w:rsidRPr="00FE2590">
              <w:rPr>
                <w:rFonts w:ascii="Arial" w:eastAsia="Arial" w:hAnsi="Arial" w:cs="Arial"/>
                <w:sz w:val="20"/>
                <w:szCs w:val="20"/>
              </w:rPr>
              <w:t>rights both in normal and in exceptional circumstances, and the existing</w:t>
            </w:r>
            <w:r>
              <w:rPr>
                <w:rFonts w:ascii="Arial" w:eastAsia="Arial" w:hAnsi="Arial" w:cs="Arial"/>
                <w:sz w:val="20"/>
                <w:szCs w:val="20"/>
              </w:rPr>
              <w:t xml:space="preserve"> </w:t>
            </w:r>
            <w:r w:rsidRPr="00FE2590">
              <w:rPr>
                <w:rFonts w:ascii="Arial" w:eastAsia="Arial" w:hAnsi="Arial" w:cs="Arial"/>
                <w:sz w:val="20"/>
                <w:szCs w:val="20"/>
              </w:rPr>
              <w:t>redemption arrangements with Unitholders;</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viii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264F82">
              <w:rPr>
                <w:rFonts w:ascii="Arial" w:eastAsia="Arial" w:hAnsi="Arial" w:cs="Arial"/>
                <w:sz w:val="20"/>
                <w:szCs w:val="20"/>
              </w:rPr>
              <w:t>a description of all fees, charges and expenses and of the maximum amounts thereof which are directly or indirectly borne by Unitholders;</w:t>
            </w:r>
          </w:p>
        </w:tc>
        <w:tc>
          <w:tcPr>
            <w:tcW w:w="1595" w:type="dxa"/>
          </w:tcPr>
          <w:p w:rsidR="00216071" w:rsidRDefault="00216071" w:rsidP="00F5656A">
            <w:pPr>
              <w:spacing w:before="180" w:after="180"/>
              <w:jc w:val="both"/>
              <w:rPr>
                <w:rFonts w:ascii="Arial" w:eastAsia="Arial" w:hAnsi="Arial" w:cs="Arial"/>
                <w:sz w:val="20"/>
                <w:szCs w:val="20"/>
              </w:rPr>
            </w:pPr>
            <w:r>
              <w:rPr>
                <w:rFonts w:ascii="Arial" w:eastAsia="Arial" w:hAnsi="Arial" w:cs="Arial"/>
                <w:sz w:val="20"/>
                <w:szCs w:val="20"/>
              </w:rPr>
              <w:t xml:space="preserve"> </w:t>
            </w: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ix</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042AE">
              <w:rPr>
                <w:rFonts w:ascii="Arial" w:eastAsia="Arial" w:hAnsi="Arial" w:cs="Arial"/>
                <w:sz w:val="20"/>
                <w:szCs w:val="20"/>
              </w:rPr>
              <w:t>a description of how the Fund ensures a fair treatment of Unitholders and,</w:t>
            </w:r>
            <w:r>
              <w:rPr>
                <w:rFonts w:ascii="Arial" w:eastAsia="Arial" w:hAnsi="Arial" w:cs="Arial"/>
                <w:sz w:val="20"/>
                <w:szCs w:val="20"/>
              </w:rPr>
              <w:t xml:space="preserve"> </w:t>
            </w:r>
            <w:r w:rsidRPr="007042AE">
              <w:rPr>
                <w:rFonts w:ascii="Arial" w:eastAsia="Arial" w:hAnsi="Arial" w:cs="Arial"/>
                <w:sz w:val="20"/>
                <w:szCs w:val="20"/>
              </w:rPr>
              <w:t>whenever a Unitholder obtains preferential treatment or the right to obtain</w:t>
            </w:r>
            <w:r>
              <w:rPr>
                <w:rFonts w:ascii="Arial" w:eastAsia="Arial" w:hAnsi="Arial" w:cs="Arial"/>
                <w:sz w:val="20"/>
                <w:szCs w:val="20"/>
              </w:rPr>
              <w:t xml:space="preserve"> </w:t>
            </w:r>
            <w:r w:rsidRPr="007042AE">
              <w:rPr>
                <w:rFonts w:ascii="Arial" w:eastAsia="Arial" w:hAnsi="Arial" w:cs="Arial"/>
                <w:sz w:val="20"/>
                <w:szCs w:val="20"/>
              </w:rPr>
              <w:t>preferential treatment, a description of that preferential treatment, the type of</w:t>
            </w:r>
            <w:r>
              <w:rPr>
                <w:rFonts w:ascii="Arial" w:eastAsia="Arial" w:hAnsi="Arial" w:cs="Arial"/>
                <w:sz w:val="20"/>
                <w:szCs w:val="20"/>
              </w:rPr>
              <w:t xml:space="preserve"> </w:t>
            </w:r>
            <w:r w:rsidRPr="007042AE">
              <w:rPr>
                <w:rFonts w:ascii="Arial" w:eastAsia="Arial" w:hAnsi="Arial" w:cs="Arial"/>
                <w:sz w:val="20"/>
                <w:szCs w:val="20"/>
              </w:rPr>
              <w:t>Unitholders who obtain such preferential treatment and, where relevant, their legal</w:t>
            </w:r>
            <w:r>
              <w:rPr>
                <w:rFonts w:ascii="Arial" w:eastAsia="Arial" w:hAnsi="Arial" w:cs="Arial"/>
                <w:sz w:val="20"/>
                <w:szCs w:val="20"/>
              </w:rPr>
              <w:t xml:space="preserve"> </w:t>
            </w:r>
            <w:r w:rsidRPr="007042AE">
              <w:rPr>
                <w:rFonts w:ascii="Arial" w:eastAsia="Arial" w:hAnsi="Arial" w:cs="Arial"/>
                <w:sz w:val="20"/>
                <w:szCs w:val="20"/>
              </w:rPr>
              <w:t>or economic links with the Fund or the Fund Manager;</w:t>
            </w:r>
          </w:p>
        </w:tc>
        <w:tc>
          <w:tcPr>
            <w:tcW w:w="1595" w:type="dxa"/>
          </w:tcPr>
          <w:p w:rsidR="00216071" w:rsidRPr="00D04C1E" w:rsidRDefault="00216071" w:rsidP="00F5656A">
            <w:pPr>
              <w:spacing w:before="180" w:after="180"/>
              <w:jc w:val="both"/>
              <w:rPr>
                <w:rFonts w:ascii="Arial" w:eastAsia="Arial" w:hAnsi="Arial" w:cs="Arial"/>
                <w:sz w:val="20"/>
                <w:szCs w:val="20"/>
                <w:lang w:val="en-US"/>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480C45">
              <w:rPr>
                <w:rFonts w:ascii="Arial" w:eastAsia="Arial" w:hAnsi="Arial" w:cs="Arial"/>
                <w:sz w:val="20"/>
                <w:szCs w:val="20"/>
              </w:rPr>
              <w:t>the latest annual report for the Fund, if applicable;</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1A6C89">
              <w:rPr>
                <w:rFonts w:ascii="Arial" w:eastAsia="Arial" w:hAnsi="Arial" w:cs="Arial"/>
                <w:sz w:val="20"/>
                <w:szCs w:val="20"/>
              </w:rPr>
              <w:t>the procedure and conditions for the issue and sale of units or shares of the Fund;</w:t>
            </w:r>
          </w:p>
        </w:tc>
        <w:tc>
          <w:tcPr>
            <w:tcW w:w="1595" w:type="dxa"/>
          </w:tcPr>
          <w:p w:rsidR="00216071" w:rsidRPr="00994CB4" w:rsidRDefault="00216071" w:rsidP="00F5656A">
            <w:pPr>
              <w:spacing w:before="180" w:after="180"/>
              <w:jc w:val="both"/>
              <w:rPr>
                <w:rFonts w:ascii="Arial" w:eastAsia="Arial" w:hAnsi="Arial" w:cs="Arial"/>
                <w:sz w:val="20"/>
                <w:szCs w:val="20"/>
                <w:lang w:val="en-US"/>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xii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1A6C89">
              <w:rPr>
                <w:rFonts w:ascii="Arial" w:eastAsia="Arial" w:hAnsi="Arial" w:cs="Arial"/>
                <w:sz w:val="20"/>
                <w:szCs w:val="20"/>
              </w:rPr>
              <w:t>where available, the latest net asset value of the Fund and its units or shares or</w:t>
            </w:r>
            <w:r>
              <w:rPr>
                <w:rFonts w:ascii="Arial" w:eastAsia="Arial" w:hAnsi="Arial" w:cs="Arial"/>
                <w:sz w:val="20"/>
                <w:szCs w:val="20"/>
              </w:rPr>
              <w:t xml:space="preserve"> </w:t>
            </w:r>
            <w:r w:rsidRPr="001A6C89">
              <w:rPr>
                <w:rFonts w:ascii="Arial" w:eastAsia="Arial" w:hAnsi="Arial" w:cs="Arial"/>
                <w:sz w:val="20"/>
                <w:szCs w:val="20"/>
              </w:rPr>
              <w:t>the latest market price per unit or share of the Fund;</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xiii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823D47">
              <w:rPr>
                <w:rFonts w:ascii="Arial" w:eastAsia="Arial" w:hAnsi="Arial" w:cs="Arial"/>
                <w:sz w:val="20"/>
                <w:szCs w:val="20"/>
              </w:rPr>
              <w:t>where available, information regarding the historical performance of the Fund;</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xiv</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BB4F90">
              <w:rPr>
                <w:rFonts w:ascii="Arial" w:eastAsia="Arial" w:hAnsi="Arial" w:cs="Arial"/>
                <w:sz w:val="20"/>
                <w:szCs w:val="20"/>
              </w:rPr>
              <w:t>if relevant, the identity of any prime broker for the Fund and a description of any</w:t>
            </w:r>
            <w:r>
              <w:rPr>
                <w:rFonts w:ascii="Arial" w:eastAsia="Arial" w:hAnsi="Arial" w:cs="Arial"/>
                <w:sz w:val="20"/>
                <w:szCs w:val="20"/>
              </w:rPr>
              <w:t xml:space="preserve"> </w:t>
            </w:r>
            <w:r w:rsidRPr="00BB4F90">
              <w:rPr>
                <w:rFonts w:ascii="Arial" w:eastAsia="Arial" w:hAnsi="Arial" w:cs="Arial"/>
                <w:sz w:val="20"/>
                <w:szCs w:val="20"/>
              </w:rPr>
              <w:t>material arrangements with that prime broker and the way the conflicts of interest</w:t>
            </w:r>
            <w:r>
              <w:rPr>
                <w:rFonts w:ascii="Arial" w:eastAsia="Arial" w:hAnsi="Arial" w:cs="Arial"/>
                <w:sz w:val="20"/>
                <w:szCs w:val="20"/>
              </w:rPr>
              <w:t xml:space="preserve"> </w:t>
            </w:r>
            <w:r w:rsidRPr="00BB4F90">
              <w:rPr>
                <w:rFonts w:ascii="Arial" w:eastAsia="Arial" w:hAnsi="Arial" w:cs="Arial"/>
                <w:sz w:val="20"/>
                <w:szCs w:val="20"/>
              </w:rPr>
              <w:t>in relation thereto are managed, information about the possibility of transfer and</w:t>
            </w:r>
            <w:r>
              <w:rPr>
                <w:rFonts w:ascii="Arial" w:eastAsia="Arial" w:hAnsi="Arial" w:cs="Arial"/>
                <w:sz w:val="20"/>
                <w:szCs w:val="20"/>
              </w:rPr>
              <w:t xml:space="preserve"> </w:t>
            </w:r>
            <w:r w:rsidRPr="00BB4F90">
              <w:rPr>
                <w:rFonts w:ascii="Arial" w:eastAsia="Arial" w:hAnsi="Arial" w:cs="Arial"/>
                <w:sz w:val="20"/>
                <w:szCs w:val="20"/>
              </w:rPr>
              <w:t>reuse of the Fund's assets by the prime broker, and information about any transfer</w:t>
            </w:r>
            <w:r>
              <w:rPr>
                <w:rFonts w:ascii="Arial" w:eastAsia="Arial" w:hAnsi="Arial" w:cs="Arial"/>
                <w:sz w:val="20"/>
                <w:szCs w:val="20"/>
              </w:rPr>
              <w:t xml:space="preserve"> </w:t>
            </w:r>
            <w:r w:rsidRPr="00BB4F90">
              <w:rPr>
                <w:rFonts w:ascii="Arial" w:eastAsia="Arial" w:hAnsi="Arial" w:cs="Arial"/>
                <w:sz w:val="20"/>
                <w:szCs w:val="20"/>
              </w:rPr>
              <w:t>of liability to the prime broker that may exist;</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xv</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315D7A">
              <w:rPr>
                <w:rFonts w:ascii="Arial" w:eastAsia="Arial" w:hAnsi="Arial" w:cs="Arial"/>
                <w:sz w:val="20"/>
                <w:szCs w:val="20"/>
              </w:rPr>
              <w:t>the total amount of leverage employed by the Fund;</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xvi</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315D7A">
              <w:rPr>
                <w:rFonts w:ascii="Arial" w:eastAsia="Arial" w:hAnsi="Arial" w:cs="Arial"/>
                <w:sz w:val="20"/>
                <w:szCs w:val="20"/>
              </w:rPr>
              <w:t>the life of the Fund, the ability to terminate the Fund and the process by which the</w:t>
            </w:r>
            <w:r>
              <w:rPr>
                <w:rFonts w:ascii="Arial" w:eastAsia="Arial" w:hAnsi="Arial" w:cs="Arial"/>
                <w:sz w:val="20"/>
                <w:szCs w:val="20"/>
              </w:rPr>
              <w:t xml:space="preserve"> </w:t>
            </w:r>
            <w:r w:rsidRPr="00315D7A">
              <w:rPr>
                <w:rFonts w:ascii="Arial" w:eastAsia="Arial" w:hAnsi="Arial" w:cs="Arial"/>
                <w:sz w:val="20"/>
                <w:szCs w:val="20"/>
              </w:rPr>
              <w:t>Fund may be terminated;</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(b) (</w:t>
            </w:r>
            <w:r>
              <w:rPr>
                <w:rFonts w:ascii="Arial" w:eastAsia="Arial" w:hAnsi="Arial" w:cs="Arial"/>
                <w:b/>
                <w:sz w:val="20"/>
                <w:szCs w:val="20"/>
              </w:rPr>
              <w:t>xvii</w:t>
            </w:r>
            <w:r w:rsidRPr="005120C7">
              <w:rPr>
                <w:rFonts w:ascii="Arial" w:eastAsia="Arial" w:hAnsi="Arial" w:cs="Arial"/>
                <w:b/>
                <w:sz w:val="20"/>
                <w:szCs w:val="20"/>
              </w:rPr>
              <w:t>)</w:t>
            </w:r>
          </w:p>
        </w:tc>
        <w:tc>
          <w:tcPr>
            <w:tcW w:w="7197" w:type="dxa"/>
          </w:tcPr>
          <w:p w:rsidR="00216071" w:rsidRPr="00315D7A"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75A3D">
              <w:rPr>
                <w:rFonts w:ascii="Arial" w:eastAsia="Arial" w:hAnsi="Arial" w:cs="Arial"/>
                <w:sz w:val="20"/>
                <w:szCs w:val="20"/>
              </w:rPr>
              <w:t>a description of the arrangements in place for the safekeeping of cash held by or</w:t>
            </w:r>
            <w:r>
              <w:rPr>
                <w:rFonts w:ascii="Arial" w:eastAsia="Arial" w:hAnsi="Arial" w:cs="Arial"/>
                <w:sz w:val="20"/>
                <w:szCs w:val="20"/>
              </w:rPr>
              <w:t xml:space="preserve"> </w:t>
            </w:r>
            <w:r w:rsidRPr="00F75A3D">
              <w:rPr>
                <w:rFonts w:ascii="Arial" w:eastAsia="Arial" w:hAnsi="Arial" w:cs="Arial"/>
                <w:sz w:val="20"/>
                <w:szCs w:val="20"/>
              </w:rPr>
              <w:t>on behalf of the Fund pending investment or distribution to Unitholders.</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c</w:t>
            </w:r>
            <w:r w:rsidRPr="005120C7">
              <w:rPr>
                <w:rFonts w:ascii="Arial" w:eastAsia="Arial" w:hAnsi="Arial" w:cs="Arial"/>
                <w:b/>
                <w:sz w:val="20"/>
                <w:szCs w:val="20"/>
              </w:rPr>
              <w:t>)</w:t>
            </w:r>
          </w:p>
        </w:tc>
        <w:tc>
          <w:tcPr>
            <w:tcW w:w="7197" w:type="dxa"/>
          </w:tcPr>
          <w:p w:rsidR="00216071" w:rsidRPr="00F75A3D"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2501EB">
              <w:rPr>
                <w:rFonts w:ascii="Arial" w:eastAsia="Arial" w:hAnsi="Arial" w:cs="Arial"/>
                <w:sz w:val="20"/>
                <w:szCs w:val="20"/>
              </w:rPr>
              <w:t>All Offering Materials relating to a Foreign Fund must include information on the</w:t>
            </w:r>
            <w:r>
              <w:rPr>
                <w:rFonts w:ascii="Arial" w:eastAsia="Arial" w:hAnsi="Arial" w:cs="Arial"/>
                <w:sz w:val="20"/>
                <w:szCs w:val="20"/>
              </w:rPr>
              <w:t xml:space="preserve"> </w:t>
            </w:r>
            <w:r w:rsidRPr="002501EB">
              <w:rPr>
                <w:rFonts w:ascii="Arial" w:eastAsia="Arial" w:hAnsi="Arial" w:cs="Arial"/>
                <w:sz w:val="20"/>
                <w:szCs w:val="20"/>
              </w:rPr>
              <w:t>jurisdiction and regulatory regime applicable to the Foreign Fund and its fund manager.</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d</w:t>
            </w:r>
            <w:r w:rsidRPr="005120C7">
              <w:rPr>
                <w:rFonts w:ascii="Arial" w:eastAsia="Arial" w:hAnsi="Arial" w:cs="Arial"/>
                <w:b/>
                <w:sz w:val="20"/>
                <w:szCs w:val="20"/>
              </w:rPr>
              <w:t>)</w:t>
            </w:r>
          </w:p>
        </w:tc>
        <w:tc>
          <w:tcPr>
            <w:tcW w:w="7197" w:type="dxa"/>
          </w:tcPr>
          <w:p w:rsidR="00216071" w:rsidRPr="002501EB"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4D0616">
              <w:rPr>
                <w:rFonts w:ascii="Arial" w:eastAsia="Arial" w:hAnsi="Arial" w:cs="Arial"/>
                <w:sz w:val="20"/>
                <w:szCs w:val="20"/>
              </w:rPr>
              <w:t>If a Fund is a Listed Fund, the Fund Manager must provide in the Fund’s Offering</w:t>
            </w:r>
            <w:r>
              <w:rPr>
                <w:rFonts w:ascii="Arial" w:eastAsia="Arial" w:hAnsi="Arial" w:cs="Arial"/>
                <w:sz w:val="20"/>
                <w:szCs w:val="20"/>
              </w:rPr>
              <w:t xml:space="preserve"> </w:t>
            </w:r>
            <w:r w:rsidRPr="004D0616">
              <w:rPr>
                <w:rFonts w:ascii="Arial" w:eastAsia="Arial" w:hAnsi="Arial" w:cs="Arial"/>
                <w:sz w:val="20"/>
                <w:szCs w:val="20"/>
              </w:rPr>
              <w:t>Materials a description of the arrangements for listing of the Units and the listing venues</w:t>
            </w:r>
            <w:r>
              <w:rPr>
                <w:rFonts w:ascii="Arial" w:eastAsia="Arial" w:hAnsi="Arial" w:cs="Arial"/>
                <w:sz w:val="20"/>
                <w:szCs w:val="20"/>
              </w:rPr>
              <w:t xml:space="preserve"> </w:t>
            </w:r>
            <w:r w:rsidRPr="004D0616">
              <w:rPr>
                <w:rFonts w:ascii="Arial" w:eastAsia="Arial" w:hAnsi="Arial" w:cs="Arial"/>
                <w:sz w:val="20"/>
                <w:szCs w:val="20"/>
              </w:rPr>
              <w:t>on which Units of the Listed Fund may be traded.</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e</w:t>
            </w:r>
            <w:r w:rsidRPr="005120C7">
              <w:rPr>
                <w:rFonts w:ascii="Arial" w:eastAsia="Arial" w:hAnsi="Arial" w:cs="Arial"/>
                <w:b/>
                <w:sz w:val="20"/>
                <w:szCs w:val="20"/>
              </w:rPr>
              <w:t>)</w:t>
            </w:r>
          </w:p>
        </w:tc>
        <w:tc>
          <w:tcPr>
            <w:tcW w:w="7197" w:type="dxa"/>
          </w:tcPr>
          <w:p w:rsidR="00216071" w:rsidRPr="004D0616"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A377E8">
              <w:rPr>
                <w:rFonts w:ascii="Arial" w:eastAsia="Arial" w:hAnsi="Arial" w:cs="Arial"/>
                <w:sz w:val="20"/>
                <w:szCs w:val="20"/>
              </w:rPr>
              <w:t>If a Foreign Fund is required to provide a summary or key information document to</w:t>
            </w:r>
            <w:r>
              <w:rPr>
                <w:rFonts w:ascii="Arial" w:eastAsia="Arial" w:hAnsi="Arial" w:cs="Arial"/>
                <w:sz w:val="20"/>
                <w:szCs w:val="20"/>
              </w:rPr>
              <w:t xml:space="preserve"> </w:t>
            </w:r>
            <w:r w:rsidRPr="00A377E8">
              <w:rPr>
                <w:rFonts w:ascii="Arial" w:eastAsia="Arial" w:hAnsi="Arial" w:cs="Arial"/>
                <w:sz w:val="20"/>
                <w:szCs w:val="20"/>
              </w:rPr>
              <w:t>investors in any jurisdiction, that document must also be provided to potential investors</w:t>
            </w:r>
            <w:r>
              <w:rPr>
                <w:rFonts w:ascii="Arial" w:eastAsia="Arial" w:hAnsi="Arial" w:cs="Arial"/>
                <w:sz w:val="20"/>
                <w:szCs w:val="20"/>
              </w:rPr>
              <w:t xml:space="preserve"> </w:t>
            </w:r>
            <w:r w:rsidRPr="00A377E8">
              <w:rPr>
                <w:rFonts w:ascii="Arial" w:eastAsia="Arial" w:hAnsi="Arial" w:cs="Arial"/>
                <w:sz w:val="20"/>
                <w:szCs w:val="20"/>
              </w:rPr>
              <w:t>in the AIFC.</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h</w:t>
            </w:r>
            <w:r w:rsidRPr="005120C7">
              <w:rPr>
                <w:rFonts w:ascii="Arial" w:eastAsia="Arial" w:hAnsi="Arial" w:cs="Arial"/>
                <w:b/>
                <w:sz w:val="20"/>
                <w:szCs w:val="20"/>
              </w:rPr>
              <w:t>)</w:t>
            </w:r>
          </w:p>
        </w:tc>
        <w:tc>
          <w:tcPr>
            <w:tcW w:w="7197" w:type="dxa"/>
          </w:tcPr>
          <w:p w:rsidR="00216071" w:rsidRPr="00C615C9"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C615C9">
              <w:rPr>
                <w:rFonts w:ascii="Arial" w:eastAsia="Arial" w:hAnsi="Arial" w:cs="Arial"/>
                <w:sz w:val="20"/>
                <w:szCs w:val="20"/>
              </w:rPr>
              <w:t>All Offering Materials relating to a Fund must include the following statement displayed</w:t>
            </w:r>
            <w:r>
              <w:rPr>
                <w:rFonts w:ascii="Arial" w:eastAsia="Arial" w:hAnsi="Arial" w:cs="Arial"/>
                <w:sz w:val="20"/>
                <w:szCs w:val="20"/>
              </w:rPr>
              <w:t xml:space="preserve"> </w:t>
            </w:r>
            <w:r w:rsidRPr="00C615C9">
              <w:rPr>
                <w:rFonts w:ascii="Arial" w:eastAsia="Arial" w:hAnsi="Arial" w:cs="Arial"/>
                <w:sz w:val="20"/>
                <w:szCs w:val="20"/>
              </w:rPr>
              <w:t>prominently on its front page:</w:t>
            </w:r>
          </w:p>
          <w:p w:rsidR="00216071" w:rsidRPr="00A377E8"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C615C9">
              <w:rPr>
                <w:rFonts w:ascii="Arial" w:eastAsia="Arial" w:hAnsi="Arial" w:cs="Arial"/>
                <w:sz w:val="20"/>
                <w:szCs w:val="20"/>
              </w:rPr>
              <w:t>"The Astana Financial Services Authority has no responsibility for reviewing or verifying</w:t>
            </w:r>
            <w:r>
              <w:rPr>
                <w:rFonts w:ascii="Arial" w:eastAsia="Arial" w:hAnsi="Arial" w:cs="Arial"/>
                <w:sz w:val="20"/>
                <w:szCs w:val="20"/>
              </w:rPr>
              <w:t xml:space="preserve"> </w:t>
            </w:r>
            <w:r w:rsidRPr="00C615C9">
              <w:rPr>
                <w:rFonts w:ascii="Arial" w:eastAsia="Arial" w:hAnsi="Arial" w:cs="Arial"/>
                <w:sz w:val="20"/>
                <w:szCs w:val="20"/>
              </w:rPr>
              <w:t>any offering materials, particulars or other documents in connection with this Fund.</w:t>
            </w:r>
            <w:r>
              <w:rPr>
                <w:rFonts w:ascii="Arial" w:eastAsia="Arial" w:hAnsi="Arial" w:cs="Arial"/>
                <w:sz w:val="20"/>
                <w:szCs w:val="20"/>
              </w:rPr>
              <w:t xml:space="preserve"> </w:t>
            </w:r>
            <w:r w:rsidRPr="00C615C9">
              <w:rPr>
                <w:rFonts w:ascii="Arial" w:eastAsia="Arial" w:hAnsi="Arial" w:cs="Arial"/>
                <w:sz w:val="20"/>
                <w:szCs w:val="20"/>
              </w:rPr>
              <w:t>Accordingly, the Astana Financial Services Authority has not reviewed, nor taken any</w:t>
            </w:r>
            <w:r>
              <w:rPr>
                <w:rFonts w:ascii="Arial" w:eastAsia="Arial" w:hAnsi="Arial" w:cs="Arial"/>
                <w:sz w:val="20"/>
                <w:szCs w:val="20"/>
              </w:rPr>
              <w:t xml:space="preserve"> </w:t>
            </w:r>
            <w:r w:rsidRPr="00C615C9">
              <w:rPr>
                <w:rFonts w:ascii="Arial" w:eastAsia="Arial" w:hAnsi="Arial" w:cs="Arial"/>
                <w:sz w:val="20"/>
                <w:szCs w:val="20"/>
              </w:rPr>
              <w:t>steps to verify, this document, the information it contains, or any other documents relating</w:t>
            </w:r>
            <w:r>
              <w:rPr>
                <w:rFonts w:ascii="Arial" w:eastAsia="Arial" w:hAnsi="Arial" w:cs="Arial"/>
                <w:sz w:val="20"/>
                <w:szCs w:val="20"/>
              </w:rPr>
              <w:t xml:space="preserve"> </w:t>
            </w:r>
            <w:r w:rsidRPr="00C615C9">
              <w:rPr>
                <w:rFonts w:ascii="Arial" w:eastAsia="Arial" w:hAnsi="Arial" w:cs="Arial"/>
                <w:sz w:val="20"/>
                <w:szCs w:val="20"/>
              </w:rPr>
              <w:t>to the Fund and has no responsibility for it. The securities to which this document relates</w:t>
            </w:r>
            <w:r>
              <w:rPr>
                <w:rFonts w:ascii="Arial" w:eastAsia="Arial" w:hAnsi="Arial" w:cs="Arial"/>
                <w:sz w:val="20"/>
                <w:szCs w:val="20"/>
              </w:rPr>
              <w:t xml:space="preserve"> </w:t>
            </w:r>
            <w:r w:rsidRPr="00C615C9">
              <w:rPr>
                <w:rFonts w:ascii="Arial" w:eastAsia="Arial" w:hAnsi="Arial" w:cs="Arial"/>
                <w:sz w:val="20"/>
                <w:szCs w:val="20"/>
              </w:rPr>
              <w:t>may be illiquid or subject to restrictions on their resale. Prospective purchasers should</w:t>
            </w:r>
            <w:r>
              <w:rPr>
                <w:rFonts w:ascii="Arial" w:eastAsia="Arial" w:hAnsi="Arial" w:cs="Arial"/>
                <w:sz w:val="20"/>
                <w:szCs w:val="20"/>
              </w:rPr>
              <w:t xml:space="preserve"> </w:t>
            </w:r>
            <w:r w:rsidRPr="00C615C9">
              <w:rPr>
                <w:rFonts w:ascii="Arial" w:eastAsia="Arial" w:hAnsi="Arial" w:cs="Arial"/>
                <w:sz w:val="20"/>
                <w:szCs w:val="20"/>
              </w:rPr>
              <w:t>conduct their own due diligence. If you do not understand the contents of this document</w:t>
            </w:r>
            <w:r>
              <w:rPr>
                <w:rFonts w:ascii="Arial" w:eastAsia="Arial" w:hAnsi="Arial" w:cs="Arial"/>
                <w:sz w:val="20"/>
                <w:szCs w:val="20"/>
              </w:rPr>
              <w:t xml:space="preserve"> </w:t>
            </w:r>
            <w:r w:rsidRPr="00C615C9">
              <w:rPr>
                <w:rFonts w:ascii="Arial" w:eastAsia="Arial" w:hAnsi="Arial" w:cs="Arial"/>
                <w:sz w:val="20"/>
                <w:szCs w:val="20"/>
              </w:rPr>
              <w:t>you should consult an authorised financial adviser."</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i</w:t>
            </w:r>
            <w:r w:rsidRPr="005120C7">
              <w:rPr>
                <w:rFonts w:ascii="Arial" w:eastAsia="Arial" w:hAnsi="Arial" w:cs="Arial"/>
                <w:b/>
                <w:sz w:val="20"/>
                <w:szCs w:val="20"/>
              </w:rPr>
              <w:t>)</w:t>
            </w:r>
          </w:p>
        </w:tc>
        <w:tc>
          <w:tcPr>
            <w:tcW w:w="7197" w:type="dxa"/>
          </w:tcPr>
          <w:p w:rsidR="00216071" w:rsidRPr="0021158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211581">
              <w:rPr>
                <w:rFonts w:ascii="Arial" w:eastAsia="Arial" w:hAnsi="Arial" w:cs="Arial"/>
                <w:sz w:val="20"/>
                <w:szCs w:val="20"/>
              </w:rPr>
              <w:t>All Offering Materials relating to an Exempt Fund must prominently disclose the following</w:t>
            </w:r>
            <w:r>
              <w:rPr>
                <w:rFonts w:ascii="Arial" w:eastAsia="Arial" w:hAnsi="Arial" w:cs="Arial"/>
                <w:sz w:val="20"/>
                <w:szCs w:val="20"/>
              </w:rPr>
              <w:t xml:space="preserve"> </w:t>
            </w:r>
            <w:r w:rsidRPr="00211581">
              <w:rPr>
                <w:rFonts w:ascii="Arial" w:eastAsia="Arial" w:hAnsi="Arial" w:cs="Arial"/>
                <w:sz w:val="20"/>
                <w:szCs w:val="20"/>
              </w:rPr>
              <w:t>statement to prospective Unitholders:</w:t>
            </w:r>
          </w:p>
          <w:p w:rsidR="00216071" w:rsidRPr="00C615C9"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211581">
              <w:rPr>
                <w:rFonts w:ascii="Arial" w:eastAsia="Arial" w:hAnsi="Arial" w:cs="Arial"/>
                <w:sz w:val="20"/>
                <w:szCs w:val="20"/>
              </w:rPr>
              <w:t>"This Fund is an Exempt Fund for the purposes of the Collective Investment Scheme</w:t>
            </w:r>
            <w:r>
              <w:rPr>
                <w:rFonts w:ascii="Arial" w:eastAsia="Arial" w:hAnsi="Arial" w:cs="Arial"/>
                <w:sz w:val="20"/>
                <w:szCs w:val="20"/>
              </w:rPr>
              <w:t xml:space="preserve"> </w:t>
            </w:r>
            <w:r w:rsidRPr="00211581">
              <w:rPr>
                <w:rFonts w:ascii="Arial" w:eastAsia="Arial" w:hAnsi="Arial" w:cs="Arial"/>
                <w:sz w:val="20"/>
                <w:szCs w:val="20"/>
              </w:rPr>
              <w:t>Rules. It is intended only for sophisticated investors and is not subject to many of the</w:t>
            </w:r>
            <w:r>
              <w:rPr>
                <w:rFonts w:ascii="Arial" w:eastAsia="Arial" w:hAnsi="Arial" w:cs="Arial"/>
                <w:sz w:val="20"/>
                <w:szCs w:val="20"/>
              </w:rPr>
              <w:t xml:space="preserve"> </w:t>
            </w:r>
            <w:r w:rsidRPr="00211581">
              <w:rPr>
                <w:rFonts w:ascii="Arial" w:eastAsia="Arial" w:hAnsi="Arial" w:cs="Arial"/>
                <w:sz w:val="20"/>
                <w:szCs w:val="20"/>
              </w:rPr>
              <w:t>requirements of the Collective Investment Scheme Rules."</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j</w:t>
            </w:r>
            <w:r w:rsidRPr="005120C7">
              <w:rPr>
                <w:rFonts w:ascii="Arial" w:eastAsia="Arial" w:hAnsi="Arial" w:cs="Arial"/>
                <w:b/>
                <w:sz w:val="20"/>
                <w:szCs w:val="20"/>
              </w:rPr>
              <w:t>)</w:t>
            </w:r>
          </w:p>
        </w:tc>
        <w:tc>
          <w:tcPr>
            <w:tcW w:w="7197" w:type="dxa"/>
          </w:tcPr>
          <w:p w:rsidR="00216071" w:rsidRPr="00020E9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020E9E">
              <w:rPr>
                <w:rFonts w:ascii="Arial" w:eastAsia="Arial" w:hAnsi="Arial" w:cs="Arial"/>
                <w:sz w:val="20"/>
                <w:szCs w:val="20"/>
              </w:rPr>
              <w:t>All Offering Materials relating to an Exempt Fund managed by a Foreign Fund Manager</w:t>
            </w:r>
            <w:r>
              <w:rPr>
                <w:rFonts w:ascii="Arial" w:eastAsia="Arial" w:hAnsi="Arial" w:cs="Arial"/>
                <w:sz w:val="20"/>
                <w:szCs w:val="20"/>
              </w:rPr>
              <w:t xml:space="preserve"> </w:t>
            </w:r>
            <w:r w:rsidRPr="00020E9E">
              <w:rPr>
                <w:rFonts w:ascii="Arial" w:eastAsia="Arial" w:hAnsi="Arial" w:cs="Arial"/>
                <w:sz w:val="20"/>
                <w:szCs w:val="20"/>
              </w:rPr>
              <w:t>must prominently disclose the following statement to prospective Unitholders:</w:t>
            </w:r>
          </w:p>
          <w:p w:rsidR="00216071" w:rsidRPr="0021158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020E9E">
              <w:rPr>
                <w:rFonts w:ascii="Arial" w:eastAsia="Arial" w:hAnsi="Arial" w:cs="Arial"/>
                <w:sz w:val="20"/>
                <w:szCs w:val="20"/>
              </w:rPr>
              <w:t>"The fund manager of this Fund is not subject to regulation by the Astana Financial Services</w:t>
            </w:r>
            <w:r>
              <w:rPr>
                <w:rFonts w:ascii="Arial" w:eastAsia="Arial" w:hAnsi="Arial" w:cs="Arial"/>
                <w:sz w:val="20"/>
                <w:szCs w:val="20"/>
              </w:rPr>
              <w:t xml:space="preserve"> </w:t>
            </w:r>
            <w:r w:rsidRPr="00020E9E">
              <w:rPr>
                <w:rFonts w:ascii="Arial" w:eastAsia="Arial" w:hAnsi="Arial" w:cs="Arial"/>
                <w:sz w:val="20"/>
                <w:szCs w:val="20"/>
              </w:rPr>
              <w:t>Authority."</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k</w:t>
            </w:r>
            <w:r w:rsidRPr="005120C7">
              <w:rPr>
                <w:rFonts w:ascii="Arial" w:eastAsia="Arial" w:hAnsi="Arial" w:cs="Arial"/>
                <w:b/>
                <w:sz w:val="20"/>
                <w:szCs w:val="20"/>
              </w:rPr>
              <w:t>)</w:t>
            </w:r>
          </w:p>
        </w:tc>
        <w:tc>
          <w:tcPr>
            <w:tcW w:w="7197" w:type="dxa"/>
          </w:tcPr>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Information relating to an Umbrella Fund:</w:t>
            </w:r>
          </w:p>
          <w:p w:rsidR="00216071" w:rsidRPr="00DE119C"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(i) Whether the Fund is constituted as a Protected Cell Company or is using</w:t>
            </w:r>
            <w:r>
              <w:rPr>
                <w:rFonts w:ascii="Arial" w:eastAsia="Arial" w:hAnsi="Arial" w:cs="Arial"/>
                <w:sz w:val="20"/>
                <w:szCs w:val="20"/>
              </w:rPr>
              <w:t xml:space="preserve"> </w:t>
            </w:r>
            <w:r w:rsidRPr="00DE119C">
              <w:rPr>
                <w:rFonts w:ascii="Arial" w:eastAsia="Arial" w:hAnsi="Arial" w:cs="Arial"/>
                <w:sz w:val="20"/>
                <w:szCs w:val="20"/>
              </w:rPr>
              <w:t>contractual arrangements to segregate Sub-Funds.</w:t>
            </w:r>
          </w:p>
          <w:p w:rsidR="00216071" w:rsidRPr="00DE119C"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(ii) A statement that Unitholders may exchange Units of one Sub-Fund for Units in</w:t>
            </w:r>
            <w:r>
              <w:rPr>
                <w:rFonts w:ascii="Arial" w:eastAsia="Arial" w:hAnsi="Arial" w:cs="Arial"/>
                <w:sz w:val="20"/>
                <w:szCs w:val="20"/>
              </w:rPr>
              <w:t xml:space="preserve"> </w:t>
            </w:r>
            <w:r w:rsidRPr="00DE119C">
              <w:rPr>
                <w:rFonts w:ascii="Arial" w:eastAsia="Arial" w:hAnsi="Arial" w:cs="Arial"/>
                <w:sz w:val="20"/>
                <w:szCs w:val="20"/>
              </w:rPr>
              <w:t>another Sub-Fund of the Umbrella Fund.</w:t>
            </w:r>
          </w:p>
          <w:p w:rsidR="00216071" w:rsidRPr="00DE119C"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(iii) Whether an exchange of Units in one Sub-Fund for Units in another Sub-Fund is</w:t>
            </w:r>
            <w:r>
              <w:rPr>
                <w:rFonts w:ascii="Arial" w:eastAsia="Arial" w:hAnsi="Arial" w:cs="Arial"/>
                <w:sz w:val="20"/>
                <w:szCs w:val="20"/>
              </w:rPr>
              <w:t xml:space="preserve"> </w:t>
            </w:r>
            <w:r w:rsidRPr="00DE119C">
              <w:rPr>
                <w:rFonts w:ascii="Arial" w:eastAsia="Arial" w:hAnsi="Arial" w:cs="Arial"/>
                <w:sz w:val="20"/>
                <w:szCs w:val="20"/>
              </w:rPr>
              <w:t>treated as a redemption of Units, and resale or reissue of Units in the relevant SubFund, and costs and fees associated with such redemption, resale or reissue.</w:t>
            </w:r>
          </w:p>
          <w:p w:rsidR="00216071" w:rsidRPr="00DE119C"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(iv) Policy for allocating between Sub-Funds any assets of, or costs, charges and</w:t>
            </w:r>
            <w:r>
              <w:rPr>
                <w:rFonts w:ascii="Arial" w:eastAsia="Arial" w:hAnsi="Arial" w:cs="Arial"/>
                <w:sz w:val="20"/>
                <w:szCs w:val="20"/>
              </w:rPr>
              <w:t xml:space="preserve"> </w:t>
            </w:r>
            <w:r w:rsidRPr="00DE119C">
              <w:rPr>
                <w:rFonts w:ascii="Arial" w:eastAsia="Arial" w:hAnsi="Arial" w:cs="Arial"/>
                <w:sz w:val="20"/>
                <w:szCs w:val="20"/>
              </w:rPr>
              <w:t>expenses payable out of, the Fund Property which are not attributable to any</w:t>
            </w:r>
            <w:r>
              <w:rPr>
                <w:rFonts w:ascii="Arial" w:eastAsia="Arial" w:hAnsi="Arial" w:cs="Arial"/>
                <w:sz w:val="20"/>
                <w:szCs w:val="20"/>
              </w:rPr>
              <w:t xml:space="preserve"> </w:t>
            </w:r>
            <w:r w:rsidRPr="00DE119C">
              <w:rPr>
                <w:rFonts w:ascii="Arial" w:eastAsia="Arial" w:hAnsi="Arial" w:cs="Arial"/>
                <w:sz w:val="20"/>
                <w:szCs w:val="20"/>
              </w:rPr>
              <w:t>particular Sub-Fund.</w:t>
            </w:r>
          </w:p>
          <w:p w:rsidR="00216071" w:rsidRPr="00DE119C"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(v) Information relating to any cross-liability that may occur between Sub-Funds if the</w:t>
            </w:r>
            <w:r>
              <w:rPr>
                <w:rFonts w:ascii="Arial" w:eastAsia="Arial" w:hAnsi="Arial" w:cs="Arial"/>
                <w:sz w:val="20"/>
                <w:szCs w:val="20"/>
              </w:rPr>
              <w:t xml:space="preserve"> </w:t>
            </w:r>
            <w:r w:rsidRPr="00DE119C">
              <w:rPr>
                <w:rFonts w:ascii="Arial" w:eastAsia="Arial" w:hAnsi="Arial" w:cs="Arial"/>
                <w:sz w:val="20"/>
                <w:szCs w:val="20"/>
              </w:rPr>
              <w:t>Fund is not using the PCC structure.</w:t>
            </w:r>
          </w:p>
          <w:p w:rsidR="00216071" w:rsidRPr="00020E9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DE119C">
              <w:rPr>
                <w:rFonts w:ascii="Arial" w:eastAsia="Arial" w:hAnsi="Arial" w:cs="Arial"/>
                <w:sz w:val="20"/>
                <w:szCs w:val="20"/>
              </w:rPr>
              <w:t>(vi) In respect of each Sub-Fund, if the currency is not the base currency of the Umbrella</w:t>
            </w:r>
            <w:r>
              <w:rPr>
                <w:rFonts w:ascii="Arial" w:eastAsia="Arial" w:hAnsi="Arial" w:cs="Arial"/>
                <w:sz w:val="20"/>
                <w:szCs w:val="20"/>
              </w:rPr>
              <w:t xml:space="preserve"> </w:t>
            </w:r>
            <w:r w:rsidRPr="00DE119C">
              <w:rPr>
                <w:rFonts w:ascii="Arial" w:eastAsia="Arial" w:hAnsi="Arial" w:cs="Arial"/>
                <w:sz w:val="20"/>
                <w:szCs w:val="20"/>
              </w:rPr>
              <w:t>Fund, the currency in which the Fund Property allocated.</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5120C7">
              <w:rPr>
                <w:rFonts w:ascii="Arial" w:eastAsia="Arial" w:hAnsi="Arial" w:cs="Arial"/>
                <w:b/>
                <w:sz w:val="20"/>
                <w:szCs w:val="20"/>
              </w:rPr>
              <w:t>5.3. (</w:t>
            </w:r>
            <w:r>
              <w:rPr>
                <w:rFonts w:ascii="Arial" w:eastAsia="Arial" w:hAnsi="Arial" w:cs="Arial"/>
                <w:b/>
                <w:sz w:val="20"/>
                <w:szCs w:val="20"/>
              </w:rPr>
              <w:t>l</w:t>
            </w:r>
            <w:r w:rsidRPr="005120C7">
              <w:rPr>
                <w:rFonts w:ascii="Arial" w:eastAsia="Arial" w:hAnsi="Arial" w:cs="Arial"/>
                <w:b/>
                <w:sz w:val="20"/>
                <w:szCs w:val="20"/>
              </w:rPr>
              <w:t>)</w:t>
            </w:r>
          </w:p>
        </w:tc>
        <w:tc>
          <w:tcPr>
            <w:tcW w:w="7197" w:type="dxa"/>
          </w:tcPr>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Information relating to a Feeder Fund:</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(i) Whether the Fund is investing in:</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(A) Real Property only; or</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(B) Securities issued by Bodies Corporate whose main activities are investing</w:t>
            </w:r>
            <w:r>
              <w:rPr>
                <w:rFonts w:ascii="Arial" w:eastAsia="Arial" w:hAnsi="Arial" w:cs="Arial"/>
                <w:sz w:val="20"/>
                <w:szCs w:val="20"/>
              </w:rPr>
              <w:t xml:space="preserve"> </w:t>
            </w:r>
            <w:r w:rsidRPr="007B29AE">
              <w:rPr>
                <w:rFonts w:ascii="Arial" w:eastAsia="Arial" w:hAnsi="Arial" w:cs="Arial"/>
                <w:sz w:val="20"/>
                <w:szCs w:val="20"/>
              </w:rPr>
              <w:t>in, dealing in, developing or redeveloping Real Property only; or</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(C) a combination of (A) and (B).</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(ii) What percentage of the Property Fund’s net assets may consist of property related</w:t>
            </w:r>
            <w:r>
              <w:rPr>
                <w:rFonts w:ascii="Arial" w:eastAsia="Arial" w:hAnsi="Arial" w:cs="Arial"/>
                <w:sz w:val="20"/>
                <w:szCs w:val="20"/>
              </w:rPr>
              <w:t xml:space="preserve"> </w:t>
            </w:r>
            <w:r w:rsidRPr="007B29AE">
              <w:rPr>
                <w:rFonts w:ascii="Arial" w:eastAsia="Arial" w:hAnsi="Arial" w:cs="Arial"/>
                <w:sz w:val="20"/>
                <w:szCs w:val="20"/>
              </w:rPr>
              <w:t>assets, referred to in 3.1(b), which are not traded in or dealt on markets provided</w:t>
            </w:r>
            <w:r>
              <w:rPr>
                <w:rFonts w:ascii="Arial" w:eastAsia="Arial" w:hAnsi="Arial" w:cs="Arial"/>
                <w:sz w:val="20"/>
                <w:szCs w:val="20"/>
              </w:rPr>
              <w:t xml:space="preserve"> </w:t>
            </w:r>
            <w:r w:rsidRPr="007B29AE">
              <w:rPr>
                <w:rFonts w:ascii="Arial" w:eastAsia="Arial" w:hAnsi="Arial" w:cs="Arial"/>
                <w:sz w:val="20"/>
                <w:szCs w:val="20"/>
              </w:rPr>
              <w:t>for in the Constitution.</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(iii) Unless the Constitution and the Offering Materials state that the Fund invests in a</w:t>
            </w:r>
            <w:r>
              <w:rPr>
                <w:rFonts w:ascii="Arial" w:eastAsia="Arial" w:hAnsi="Arial" w:cs="Arial"/>
                <w:sz w:val="20"/>
                <w:szCs w:val="20"/>
              </w:rPr>
              <w:t xml:space="preserve"> </w:t>
            </w:r>
            <w:r w:rsidRPr="007B29AE">
              <w:rPr>
                <w:rFonts w:ascii="Arial" w:eastAsia="Arial" w:hAnsi="Arial" w:cs="Arial"/>
                <w:sz w:val="20"/>
                <w:szCs w:val="20"/>
              </w:rPr>
              <w:t>single property, the maximum percentage of the Fund’s net assets which may be</w:t>
            </w:r>
            <w:r>
              <w:rPr>
                <w:rFonts w:ascii="Arial" w:eastAsia="Arial" w:hAnsi="Arial" w:cs="Arial"/>
                <w:sz w:val="20"/>
                <w:szCs w:val="20"/>
              </w:rPr>
              <w:t xml:space="preserve"> </w:t>
            </w:r>
            <w:r w:rsidRPr="007B29AE">
              <w:rPr>
                <w:rFonts w:ascii="Arial" w:eastAsia="Arial" w:hAnsi="Arial" w:cs="Arial"/>
                <w:sz w:val="20"/>
                <w:szCs w:val="20"/>
              </w:rPr>
              <w:t>invested in any single property or, if applicable, the conditions under which the Fund</w:t>
            </w:r>
            <w:r>
              <w:rPr>
                <w:rFonts w:ascii="Arial" w:eastAsia="Arial" w:hAnsi="Arial" w:cs="Arial"/>
                <w:sz w:val="20"/>
                <w:szCs w:val="20"/>
              </w:rPr>
              <w:t xml:space="preserve"> </w:t>
            </w:r>
            <w:r w:rsidRPr="007B29AE">
              <w:rPr>
                <w:rFonts w:ascii="Arial" w:eastAsia="Arial" w:hAnsi="Arial" w:cs="Arial"/>
                <w:sz w:val="20"/>
                <w:szCs w:val="20"/>
              </w:rPr>
              <w:t>may derogate from this restriction.</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(iv) The maximum percentage of the Property Fund’s net assets which may be invested</w:t>
            </w:r>
            <w:r>
              <w:rPr>
                <w:rFonts w:ascii="Arial" w:eastAsia="Arial" w:hAnsi="Arial" w:cs="Arial"/>
                <w:sz w:val="20"/>
                <w:szCs w:val="20"/>
              </w:rPr>
              <w:t xml:space="preserve"> </w:t>
            </w:r>
            <w:r w:rsidRPr="007B29AE">
              <w:rPr>
                <w:rFonts w:ascii="Arial" w:eastAsia="Arial" w:hAnsi="Arial" w:cs="Arial"/>
                <w:sz w:val="20"/>
                <w:szCs w:val="20"/>
              </w:rPr>
              <w:t>in properties which are vacant, in the process of development or requiring</w:t>
            </w:r>
            <w:r>
              <w:rPr>
                <w:rFonts w:ascii="Arial" w:eastAsia="Arial" w:hAnsi="Arial" w:cs="Arial"/>
                <w:sz w:val="20"/>
                <w:szCs w:val="20"/>
              </w:rPr>
              <w:t xml:space="preserve"> </w:t>
            </w:r>
            <w:r w:rsidRPr="007B29AE">
              <w:rPr>
                <w:rFonts w:ascii="Arial" w:eastAsia="Arial" w:hAnsi="Arial" w:cs="Arial"/>
                <w:sz w:val="20"/>
                <w:szCs w:val="20"/>
              </w:rPr>
              <w:t>development.</w:t>
            </w:r>
          </w:p>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7B29AE">
              <w:rPr>
                <w:rFonts w:ascii="Arial" w:eastAsia="Arial" w:hAnsi="Arial" w:cs="Arial"/>
                <w:sz w:val="20"/>
                <w:szCs w:val="20"/>
              </w:rPr>
              <w:t>(v) The maximum percentage of the Property Fund’s net assets which may be invested</w:t>
            </w:r>
            <w:r>
              <w:rPr>
                <w:rFonts w:ascii="Arial" w:eastAsia="Arial" w:hAnsi="Arial" w:cs="Arial"/>
                <w:sz w:val="20"/>
                <w:szCs w:val="20"/>
              </w:rPr>
              <w:t xml:space="preserve"> </w:t>
            </w:r>
            <w:r w:rsidRPr="007B29AE">
              <w:rPr>
                <w:rFonts w:ascii="Arial" w:eastAsia="Arial" w:hAnsi="Arial" w:cs="Arial"/>
                <w:sz w:val="20"/>
                <w:szCs w:val="20"/>
              </w:rPr>
              <w:t>in properties which are subject to a mortgage.</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(vi) For investment in Real Property:</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(A) the countries or territories in which the Fund may invest;</w:t>
            </w:r>
          </w:p>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(B) the types of Real Property in which the Fund may invest and the policy in</w:t>
            </w:r>
            <w:r>
              <w:rPr>
                <w:rFonts w:ascii="Arial" w:eastAsia="Arial" w:hAnsi="Arial" w:cs="Arial"/>
                <w:sz w:val="20"/>
                <w:szCs w:val="20"/>
              </w:rPr>
              <w:t xml:space="preserve"> </w:t>
            </w:r>
            <w:r w:rsidRPr="00567595">
              <w:rPr>
                <w:rFonts w:ascii="Arial" w:eastAsia="Arial" w:hAnsi="Arial" w:cs="Arial"/>
                <w:sz w:val="20"/>
                <w:szCs w:val="20"/>
              </w:rPr>
              <w:t>relation to encumbrances and lease period, if applicable;</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(C) the policy of the Fund Manager in relation to insurance of Real Property</w:t>
            </w:r>
            <w:r>
              <w:rPr>
                <w:rFonts w:ascii="Arial" w:eastAsia="Arial" w:hAnsi="Arial" w:cs="Arial"/>
                <w:sz w:val="20"/>
                <w:szCs w:val="20"/>
              </w:rPr>
              <w:t xml:space="preserve"> </w:t>
            </w:r>
            <w:r w:rsidRPr="00567595">
              <w:rPr>
                <w:rFonts w:ascii="Arial" w:eastAsia="Arial" w:hAnsi="Arial" w:cs="Arial"/>
                <w:sz w:val="20"/>
                <w:szCs w:val="20"/>
              </w:rPr>
              <w:t>forming part of the Fund Property;</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(D) the risks involved in this type of Fund;</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(E) details of the Property Fund’s appointed valuer under CIS 6.10.(b);</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(F) a statement to explain the standards according to which the property</w:t>
            </w:r>
            <w:r>
              <w:rPr>
                <w:rFonts w:ascii="Arial" w:eastAsia="Arial" w:hAnsi="Arial" w:cs="Arial"/>
                <w:sz w:val="20"/>
                <w:szCs w:val="20"/>
              </w:rPr>
              <w:t xml:space="preserve"> </w:t>
            </w:r>
            <w:r w:rsidRPr="00567595">
              <w:rPr>
                <w:rFonts w:ascii="Arial" w:eastAsia="Arial" w:hAnsi="Arial" w:cs="Arial"/>
                <w:sz w:val="20"/>
                <w:szCs w:val="20"/>
              </w:rPr>
              <w:t>valuations are conducted;</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(G) a statement with respect to any material policy regarding Real Property</w:t>
            </w:r>
            <w:r>
              <w:rPr>
                <w:rFonts w:ascii="Arial" w:eastAsia="Arial" w:hAnsi="Arial" w:cs="Arial"/>
                <w:sz w:val="20"/>
                <w:szCs w:val="20"/>
              </w:rPr>
              <w:t xml:space="preserve"> </w:t>
            </w:r>
            <w:r w:rsidRPr="00567595">
              <w:rPr>
                <w:rFonts w:ascii="Arial" w:eastAsia="Arial" w:hAnsi="Arial" w:cs="Arial"/>
                <w:sz w:val="20"/>
                <w:szCs w:val="20"/>
              </w:rPr>
              <w:t>activities;</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(H) details of significant holders and the number of units held and deemed to</w:t>
            </w:r>
            <w:r>
              <w:rPr>
                <w:rFonts w:ascii="Arial" w:eastAsia="Arial" w:hAnsi="Arial" w:cs="Arial"/>
                <w:sz w:val="20"/>
                <w:szCs w:val="20"/>
              </w:rPr>
              <w:t xml:space="preserve"> </w:t>
            </w:r>
            <w:r w:rsidRPr="00567595">
              <w:rPr>
                <w:rFonts w:ascii="Arial" w:eastAsia="Arial" w:hAnsi="Arial" w:cs="Arial"/>
                <w:sz w:val="20"/>
                <w:szCs w:val="20"/>
              </w:rPr>
              <w:t>be held by each of them;</w:t>
            </w:r>
          </w:p>
          <w:p w:rsidR="00216071" w:rsidRPr="0056759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(I) details of principal taxes levied on the Fund’s income and capital, including</w:t>
            </w:r>
            <w:r>
              <w:rPr>
                <w:rFonts w:ascii="Arial" w:eastAsia="Arial" w:hAnsi="Arial" w:cs="Arial"/>
                <w:sz w:val="20"/>
                <w:szCs w:val="20"/>
              </w:rPr>
              <w:t xml:space="preserve"> </w:t>
            </w:r>
            <w:r w:rsidRPr="00567595">
              <w:rPr>
                <w:rFonts w:ascii="Arial" w:eastAsia="Arial" w:hAnsi="Arial" w:cs="Arial"/>
                <w:sz w:val="20"/>
                <w:szCs w:val="20"/>
              </w:rPr>
              <w:t>tax, if any, deducted on distribution to Unitholders; and</w:t>
            </w:r>
          </w:p>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567595">
              <w:rPr>
                <w:rFonts w:ascii="Arial" w:eastAsia="Arial" w:hAnsi="Arial" w:cs="Arial"/>
                <w:sz w:val="20"/>
                <w:szCs w:val="20"/>
              </w:rPr>
              <w:t>(J) if the Fund is a REIT, whether the investment vehicle is an Investment</w:t>
            </w:r>
            <w:r>
              <w:rPr>
                <w:rFonts w:ascii="Arial" w:eastAsia="Arial" w:hAnsi="Arial" w:cs="Arial"/>
                <w:sz w:val="20"/>
                <w:szCs w:val="20"/>
              </w:rPr>
              <w:t xml:space="preserve"> </w:t>
            </w:r>
            <w:r w:rsidRPr="00567595">
              <w:rPr>
                <w:rFonts w:ascii="Arial" w:eastAsia="Arial" w:hAnsi="Arial" w:cs="Arial"/>
                <w:sz w:val="20"/>
                <w:szCs w:val="20"/>
              </w:rPr>
              <w:t>Company or Limited Partnership.</w:t>
            </w:r>
          </w:p>
          <w:p w:rsidR="00216071" w:rsidRPr="00C81BE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C81BE5">
              <w:rPr>
                <w:rFonts w:ascii="Arial" w:eastAsia="Arial" w:hAnsi="Arial" w:cs="Arial"/>
                <w:sz w:val="20"/>
                <w:szCs w:val="20"/>
              </w:rPr>
              <w:t>(vii) If the Fund is a single Property Fund:</w:t>
            </w:r>
          </w:p>
          <w:p w:rsidR="00216071" w:rsidRPr="00C81BE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C81BE5">
              <w:rPr>
                <w:rFonts w:ascii="Arial" w:eastAsia="Arial" w:hAnsi="Arial" w:cs="Arial"/>
                <w:sz w:val="20"/>
                <w:szCs w:val="20"/>
              </w:rPr>
              <w:t>(A) a prominent statement that the Fund invests in a single property;</w:t>
            </w:r>
          </w:p>
          <w:p w:rsidR="00216071" w:rsidRPr="00C81BE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C81BE5">
              <w:rPr>
                <w:rFonts w:ascii="Arial" w:eastAsia="Arial" w:hAnsi="Arial" w:cs="Arial"/>
                <w:sz w:val="20"/>
                <w:szCs w:val="20"/>
              </w:rPr>
              <w:t>(B) the details relating to the single property, such as whether the property</w:t>
            </w:r>
            <w:r>
              <w:rPr>
                <w:rFonts w:ascii="Arial" w:eastAsia="Arial" w:hAnsi="Arial" w:cs="Arial"/>
                <w:sz w:val="20"/>
                <w:szCs w:val="20"/>
              </w:rPr>
              <w:t xml:space="preserve"> </w:t>
            </w:r>
            <w:r w:rsidRPr="00C81BE5">
              <w:rPr>
                <w:rFonts w:ascii="Arial" w:eastAsia="Arial" w:hAnsi="Arial" w:cs="Arial"/>
                <w:sz w:val="20"/>
                <w:szCs w:val="20"/>
              </w:rPr>
              <w:t>comprises individual properties or buildings, whether there are different</w:t>
            </w:r>
            <w:r>
              <w:rPr>
                <w:rFonts w:ascii="Arial" w:eastAsia="Arial" w:hAnsi="Arial" w:cs="Arial"/>
                <w:sz w:val="20"/>
                <w:szCs w:val="20"/>
              </w:rPr>
              <w:t xml:space="preserve"> </w:t>
            </w:r>
            <w:r w:rsidRPr="00C81BE5">
              <w:rPr>
                <w:rFonts w:ascii="Arial" w:eastAsia="Arial" w:hAnsi="Arial" w:cs="Arial"/>
                <w:sz w:val="20"/>
                <w:szCs w:val="20"/>
              </w:rPr>
              <w:t>types of uses or businesses conducted in the property, and proportions of</w:t>
            </w:r>
            <w:r>
              <w:rPr>
                <w:rFonts w:ascii="Arial" w:eastAsia="Arial" w:hAnsi="Arial" w:cs="Arial"/>
                <w:sz w:val="20"/>
                <w:szCs w:val="20"/>
              </w:rPr>
              <w:t xml:space="preserve"> </w:t>
            </w:r>
            <w:r w:rsidRPr="00C81BE5">
              <w:rPr>
                <w:rFonts w:ascii="Arial" w:eastAsia="Arial" w:hAnsi="Arial" w:cs="Arial"/>
                <w:sz w:val="20"/>
                <w:szCs w:val="20"/>
              </w:rPr>
              <w:t>anticipated income to be derived from the types of uses or occupants of</w:t>
            </w:r>
            <w:r>
              <w:rPr>
                <w:rFonts w:ascii="Arial" w:eastAsia="Arial" w:hAnsi="Arial" w:cs="Arial"/>
                <w:sz w:val="20"/>
                <w:szCs w:val="20"/>
              </w:rPr>
              <w:t xml:space="preserve"> </w:t>
            </w:r>
            <w:r w:rsidRPr="00C81BE5">
              <w:rPr>
                <w:rFonts w:ascii="Arial" w:eastAsia="Arial" w:hAnsi="Arial" w:cs="Arial"/>
                <w:sz w:val="20"/>
                <w:szCs w:val="20"/>
              </w:rPr>
              <w:t>the property; and</w:t>
            </w:r>
          </w:p>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C81BE5">
              <w:rPr>
                <w:rFonts w:ascii="Arial" w:eastAsia="Arial" w:hAnsi="Arial" w:cs="Arial"/>
                <w:sz w:val="20"/>
                <w:szCs w:val="20"/>
              </w:rPr>
              <w:t>(C) any risks associated with the investment in the single property, including</w:t>
            </w:r>
            <w:r>
              <w:rPr>
                <w:rFonts w:ascii="Arial" w:eastAsia="Arial" w:hAnsi="Arial" w:cs="Arial"/>
                <w:sz w:val="20"/>
                <w:szCs w:val="20"/>
              </w:rPr>
              <w:t xml:space="preserve"> </w:t>
            </w:r>
            <w:r w:rsidRPr="00C81BE5">
              <w:rPr>
                <w:rFonts w:ascii="Arial" w:eastAsia="Arial" w:hAnsi="Arial" w:cs="Arial"/>
                <w:sz w:val="20"/>
                <w:szCs w:val="20"/>
              </w:rPr>
              <w:t>risks arising from or affecting income to be derived from the uses or</w:t>
            </w:r>
            <w:r>
              <w:rPr>
                <w:rFonts w:ascii="Arial" w:eastAsia="Arial" w:hAnsi="Arial" w:cs="Arial"/>
                <w:sz w:val="20"/>
                <w:szCs w:val="20"/>
              </w:rPr>
              <w:t xml:space="preserve"> </w:t>
            </w:r>
            <w:r w:rsidRPr="00C81BE5">
              <w:rPr>
                <w:rFonts w:ascii="Arial" w:eastAsia="Arial" w:hAnsi="Arial" w:cs="Arial"/>
                <w:sz w:val="20"/>
                <w:szCs w:val="20"/>
              </w:rPr>
              <w:t>occupants of the property.</w:t>
            </w:r>
          </w:p>
          <w:p w:rsidR="00216071" w:rsidRPr="006F4140"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(viii) If the Fund Manager itself acts as the custodian of Real Property, in accordance</w:t>
            </w:r>
            <w:r>
              <w:rPr>
                <w:rFonts w:ascii="Arial" w:eastAsia="Arial" w:hAnsi="Arial" w:cs="Arial"/>
                <w:sz w:val="20"/>
                <w:szCs w:val="20"/>
              </w:rPr>
              <w:t xml:space="preserve"> </w:t>
            </w:r>
            <w:r w:rsidRPr="006F4140">
              <w:rPr>
                <w:rFonts w:ascii="Arial" w:eastAsia="Arial" w:hAnsi="Arial" w:cs="Arial"/>
                <w:sz w:val="20"/>
                <w:szCs w:val="20"/>
              </w:rPr>
              <w:t>with CIS 7.3.(e):</w:t>
            </w:r>
          </w:p>
          <w:p w:rsidR="00216071" w:rsidRPr="006F4140"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(A) a prominent statement that it acts as the custodian of the Real Property;</w:t>
            </w:r>
          </w:p>
          <w:p w:rsidR="00216071" w:rsidRPr="006F4140"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(B) disclosure of risks that may arise as a result of it acting as custodian rather</w:t>
            </w:r>
            <w:r>
              <w:rPr>
                <w:rFonts w:ascii="Arial" w:eastAsia="Arial" w:hAnsi="Arial" w:cs="Arial"/>
                <w:sz w:val="20"/>
                <w:szCs w:val="20"/>
              </w:rPr>
              <w:t xml:space="preserve"> </w:t>
            </w:r>
            <w:r w:rsidRPr="006F4140">
              <w:rPr>
                <w:rFonts w:ascii="Arial" w:eastAsia="Arial" w:hAnsi="Arial" w:cs="Arial"/>
                <w:sz w:val="20"/>
                <w:szCs w:val="20"/>
              </w:rPr>
              <w:t>than delegating the function to an Eligible Custodian; and</w:t>
            </w:r>
          </w:p>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(C) the measures and safeguards it has in place to ensure the proper</w:t>
            </w:r>
            <w:r>
              <w:rPr>
                <w:rFonts w:ascii="Arial" w:eastAsia="Arial" w:hAnsi="Arial" w:cs="Arial"/>
                <w:sz w:val="20"/>
                <w:szCs w:val="20"/>
              </w:rPr>
              <w:t xml:space="preserve"> </w:t>
            </w:r>
            <w:r w:rsidRPr="006F4140">
              <w:rPr>
                <w:rFonts w:ascii="Arial" w:eastAsia="Arial" w:hAnsi="Arial" w:cs="Arial"/>
                <w:sz w:val="20"/>
                <w:szCs w:val="20"/>
              </w:rPr>
              <w:t>segregation and protection of the Real Property.</w:t>
            </w:r>
          </w:p>
          <w:p w:rsidR="00216071" w:rsidRPr="006F4140"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(ix) Disclosure of:</w:t>
            </w:r>
          </w:p>
          <w:p w:rsidR="00216071" w:rsidRPr="006F4140"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(A) details of any transactions or agreements entered into with Related</w:t>
            </w:r>
            <w:r>
              <w:rPr>
                <w:rFonts w:ascii="Arial" w:eastAsia="Arial" w:hAnsi="Arial" w:cs="Arial"/>
                <w:sz w:val="20"/>
                <w:szCs w:val="20"/>
              </w:rPr>
              <w:t xml:space="preserve"> </w:t>
            </w:r>
            <w:r w:rsidRPr="006F4140">
              <w:rPr>
                <w:rFonts w:ascii="Arial" w:eastAsia="Arial" w:hAnsi="Arial" w:cs="Arial"/>
                <w:sz w:val="20"/>
                <w:szCs w:val="20"/>
              </w:rPr>
              <w:t>Parties;</w:t>
            </w:r>
          </w:p>
          <w:p w:rsidR="00216071"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6F4140">
              <w:rPr>
                <w:rFonts w:ascii="Arial" w:eastAsia="Arial" w:hAnsi="Arial" w:cs="Arial"/>
                <w:sz w:val="20"/>
                <w:szCs w:val="20"/>
              </w:rPr>
              <w:t>(B) full particulars of the nature and extent of the interest, if any, of Related</w:t>
            </w:r>
            <w:r>
              <w:rPr>
                <w:rFonts w:ascii="Arial" w:eastAsia="Arial" w:hAnsi="Arial" w:cs="Arial"/>
                <w:sz w:val="20"/>
                <w:szCs w:val="20"/>
              </w:rPr>
              <w:t xml:space="preserve"> </w:t>
            </w:r>
            <w:r w:rsidRPr="006F4140">
              <w:rPr>
                <w:rFonts w:ascii="Arial" w:eastAsia="Arial" w:hAnsi="Arial" w:cs="Arial"/>
                <w:sz w:val="20"/>
                <w:szCs w:val="20"/>
              </w:rPr>
              <w:t>Parties in the property owned or proposed to be acquired by the Fund; and</w:t>
            </w:r>
          </w:p>
          <w:p w:rsidR="00216071" w:rsidRPr="00DE119C"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8B66A2">
              <w:rPr>
                <w:rFonts w:ascii="Arial" w:eastAsia="Arial" w:hAnsi="Arial" w:cs="Arial"/>
                <w:sz w:val="20"/>
                <w:szCs w:val="20"/>
              </w:rPr>
              <w:t>(С) whether the Fund Manager has Unitholder approval to enter into Related</w:t>
            </w:r>
            <w:r>
              <w:rPr>
                <w:rFonts w:ascii="Arial" w:eastAsia="Arial" w:hAnsi="Arial" w:cs="Arial"/>
                <w:sz w:val="20"/>
                <w:szCs w:val="20"/>
              </w:rPr>
              <w:t xml:space="preserve"> </w:t>
            </w:r>
            <w:r w:rsidRPr="008B66A2">
              <w:rPr>
                <w:rFonts w:ascii="Arial" w:eastAsia="Arial" w:hAnsi="Arial" w:cs="Arial"/>
                <w:sz w:val="20"/>
                <w:szCs w:val="20"/>
              </w:rPr>
              <w:t>Party Transactions.</w:t>
            </w:r>
          </w:p>
        </w:tc>
        <w:tc>
          <w:tcPr>
            <w:tcW w:w="1595" w:type="dxa"/>
          </w:tcPr>
          <w:p w:rsidR="00216071" w:rsidRDefault="00216071" w:rsidP="00F5656A">
            <w:pPr>
              <w:spacing w:before="180" w:after="180"/>
              <w:jc w:val="both"/>
              <w:rPr>
                <w:rFonts w:ascii="Arial" w:eastAsia="Arial" w:hAnsi="Arial" w:cs="Arial"/>
                <w:sz w:val="20"/>
                <w:szCs w:val="20"/>
              </w:rPr>
            </w:pPr>
          </w:p>
        </w:tc>
      </w:tr>
      <w:tr w:rsidR="00216071" w:rsidTr="00F5656A">
        <w:tc>
          <w:tcPr>
            <w:tcW w:w="701" w:type="dxa"/>
          </w:tcPr>
          <w:p w:rsidR="00216071" w:rsidRPr="005120C7" w:rsidRDefault="00216071" w:rsidP="00F5656A">
            <w:pPr>
              <w:pBdr>
                <w:top w:val="nil"/>
                <w:left w:val="nil"/>
                <w:bottom w:val="nil"/>
                <w:right w:val="nil"/>
                <w:between w:val="nil"/>
              </w:pBdr>
              <w:spacing w:before="180" w:after="180"/>
              <w:rPr>
                <w:rFonts w:ascii="Arial" w:eastAsia="Arial" w:hAnsi="Arial" w:cs="Arial"/>
                <w:b/>
                <w:sz w:val="20"/>
                <w:szCs w:val="20"/>
              </w:rPr>
            </w:pPr>
            <w:r w:rsidRPr="008B66A2">
              <w:rPr>
                <w:rFonts w:ascii="Arial" w:eastAsia="Arial" w:hAnsi="Arial" w:cs="Arial"/>
                <w:b/>
                <w:sz w:val="20"/>
                <w:szCs w:val="20"/>
              </w:rPr>
              <w:t>5.3. (</w:t>
            </w:r>
            <w:r>
              <w:rPr>
                <w:rFonts w:ascii="Arial" w:eastAsia="Arial" w:hAnsi="Arial" w:cs="Arial"/>
                <w:b/>
                <w:sz w:val="20"/>
                <w:szCs w:val="20"/>
              </w:rPr>
              <w:t>m</w:t>
            </w:r>
            <w:r w:rsidRPr="008B66A2">
              <w:rPr>
                <w:rFonts w:ascii="Arial" w:eastAsia="Arial" w:hAnsi="Arial" w:cs="Arial"/>
                <w:b/>
                <w:sz w:val="20"/>
                <w:szCs w:val="20"/>
              </w:rPr>
              <w:t>)</w:t>
            </w:r>
          </w:p>
        </w:tc>
        <w:tc>
          <w:tcPr>
            <w:tcW w:w="7197" w:type="dxa"/>
          </w:tcPr>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Information relating to an ESG Fund:</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(i) a description of the investment objective, policy and strategy incorporating an ESG</w:t>
            </w:r>
            <w:r>
              <w:rPr>
                <w:rFonts w:ascii="Arial" w:eastAsia="Arial" w:hAnsi="Arial" w:cs="Arial"/>
                <w:sz w:val="20"/>
                <w:szCs w:val="20"/>
              </w:rPr>
              <w:t xml:space="preserve"> </w:t>
            </w:r>
            <w:r w:rsidRPr="00F03D15">
              <w:rPr>
                <w:rFonts w:ascii="Arial" w:eastAsia="Arial" w:hAnsi="Arial" w:cs="Arial"/>
                <w:sz w:val="20"/>
                <w:szCs w:val="20"/>
              </w:rPr>
              <w:t>Fund’s investment focus;</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(ii) a Fund Manager of an ESG Fund must ensure that Offering Materials do not refer</w:t>
            </w:r>
            <w:r>
              <w:rPr>
                <w:rFonts w:ascii="Arial" w:eastAsia="Arial" w:hAnsi="Arial" w:cs="Arial"/>
                <w:sz w:val="20"/>
                <w:szCs w:val="20"/>
              </w:rPr>
              <w:t xml:space="preserve"> </w:t>
            </w:r>
            <w:r w:rsidRPr="00F03D15">
              <w:rPr>
                <w:rFonts w:ascii="Arial" w:eastAsia="Arial" w:hAnsi="Arial" w:cs="Arial"/>
                <w:sz w:val="20"/>
                <w:szCs w:val="20"/>
              </w:rPr>
              <w:t>to an “ESG Fund”, or otherwise includes or uses ESG-related or similar terms,</w:t>
            </w:r>
            <w:r>
              <w:rPr>
                <w:rFonts w:ascii="Arial" w:eastAsia="Arial" w:hAnsi="Arial" w:cs="Arial"/>
                <w:sz w:val="20"/>
                <w:szCs w:val="20"/>
              </w:rPr>
              <w:t xml:space="preserve"> </w:t>
            </w:r>
            <w:r w:rsidRPr="00F03D15">
              <w:rPr>
                <w:rFonts w:ascii="Arial" w:eastAsia="Arial" w:hAnsi="Arial" w:cs="Arial"/>
                <w:sz w:val="20"/>
                <w:szCs w:val="20"/>
              </w:rPr>
              <w:t>unless the Fund meets the criteria in 2.4.1(e);</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(iii) a list of ESG criteria used to measure the attainment of the fund’s ESG focus;</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(iv) a description of the sustainable investing strategy used by the scheme to achieve</w:t>
            </w:r>
            <w:r>
              <w:rPr>
                <w:rFonts w:ascii="Arial" w:eastAsia="Arial" w:hAnsi="Arial" w:cs="Arial"/>
                <w:sz w:val="20"/>
                <w:szCs w:val="20"/>
              </w:rPr>
              <w:t xml:space="preserve"> </w:t>
            </w:r>
            <w:r w:rsidRPr="00F03D15">
              <w:rPr>
                <w:rFonts w:ascii="Arial" w:eastAsia="Arial" w:hAnsi="Arial" w:cs="Arial"/>
                <w:sz w:val="20"/>
                <w:szCs w:val="20"/>
              </w:rPr>
              <w:t>its ESG focus, the binding elements of that strategy in the investment process, and</w:t>
            </w:r>
            <w:r>
              <w:rPr>
                <w:rFonts w:ascii="Arial" w:eastAsia="Arial" w:hAnsi="Arial" w:cs="Arial"/>
                <w:sz w:val="20"/>
                <w:szCs w:val="20"/>
              </w:rPr>
              <w:t xml:space="preserve"> </w:t>
            </w:r>
            <w:r w:rsidRPr="00F03D15">
              <w:rPr>
                <w:rFonts w:ascii="Arial" w:eastAsia="Arial" w:hAnsi="Arial" w:cs="Arial"/>
                <w:sz w:val="20"/>
                <w:szCs w:val="20"/>
              </w:rPr>
              <w:t>how the strategy is implemented in the investment process on a continuous basis;</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(v) where the Fund uses a benchmark index to measure the attainment of its ESG</w:t>
            </w:r>
            <w:r>
              <w:rPr>
                <w:rFonts w:ascii="Arial" w:eastAsia="Arial" w:hAnsi="Arial" w:cs="Arial"/>
                <w:sz w:val="20"/>
                <w:szCs w:val="20"/>
              </w:rPr>
              <w:t xml:space="preserve"> </w:t>
            </w:r>
            <w:r w:rsidRPr="00F03D15">
              <w:rPr>
                <w:rFonts w:ascii="Arial" w:eastAsia="Arial" w:hAnsi="Arial" w:cs="Arial"/>
                <w:sz w:val="20"/>
                <w:szCs w:val="20"/>
              </w:rPr>
              <w:t>focus, an explanation of how the benchmark index is consistent with or relevant to</w:t>
            </w:r>
            <w:r>
              <w:rPr>
                <w:rFonts w:ascii="Arial" w:eastAsia="Arial" w:hAnsi="Arial" w:cs="Arial"/>
                <w:sz w:val="20"/>
                <w:szCs w:val="20"/>
              </w:rPr>
              <w:t xml:space="preserve"> </w:t>
            </w:r>
            <w:r w:rsidRPr="00F03D15">
              <w:rPr>
                <w:rFonts w:ascii="Arial" w:eastAsia="Arial" w:hAnsi="Arial" w:cs="Arial"/>
                <w:sz w:val="20"/>
                <w:szCs w:val="20"/>
              </w:rPr>
              <w:t>its investment focus;</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(vi) where the Fund uses a benchmark index for financial performance measurement</w:t>
            </w:r>
            <w:r>
              <w:rPr>
                <w:rFonts w:ascii="Arial" w:eastAsia="Arial" w:hAnsi="Arial" w:cs="Arial"/>
                <w:sz w:val="20"/>
                <w:szCs w:val="20"/>
              </w:rPr>
              <w:t xml:space="preserve"> </w:t>
            </w:r>
            <w:r w:rsidRPr="00F03D15">
              <w:rPr>
                <w:rFonts w:ascii="Arial" w:eastAsia="Arial" w:hAnsi="Arial" w:cs="Arial"/>
                <w:sz w:val="20"/>
                <w:szCs w:val="20"/>
              </w:rPr>
              <w:t>only, a statement of that fact; and</w:t>
            </w:r>
          </w:p>
          <w:p w:rsidR="00216071" w:rsidRPr="00F03D15"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(vii) risks associated with the Fund’s investment focus and strategy;</w:t>
            </w:r>
          </w:p>
          <w:p w:rsidR="00216071" w:rsidRPr="007B29AE" w:rsidRDefault="00216071" w:rsidP="00F5656A">
            <w:pPr>
              <w:pBdr>
                <w:top w:val="nil"/>
                <w:left w:val="nil"/>
                <w:bottom w:val="nil"/>
                <w:right w:val="nil"/>
                <w:between w:val="nil"/>
              </w:pBdr>
              <w:spacing w:before="180" w:after="180"/>
              <w:jc w:val="both"/>
              <w:rPr>
                <w:rFonts w:ascii="Arial" w:eastAsia="Arial" w:hAnsi="Arial" w:cs="Arial"/>
                <w:sz w:val="20"/>
                <w:szCs w:val="20"/>
              </w:rPr>
            </w:pPr>
            <w:r w:rsidRPr="00F03D15">
              <w:rPr>
                <w:rFonts w:ascii="Arial" w:eastAsia="Arial" w:hAnsi="Arial" w:cs="Arial"/>
                <w:sz w:val="20"/>
                <w:szCs w:val="20"/>
              </w:rPr>
              <w:t>(viii) any ESG-related terms used must be clearly defined.</w:t>
            </w:r>
          </w:p>
        </w:tc>
        <w:tc>
          <w:tcPr>
            <w:tcW w:w="1595" w:type="dxa"/>
          </w:tcPr>
          <w:p w:rsidR="00216071" w:rsidRDefault="00216071" w:rsidP="00F5656A">
            <w:pPr>
              <w:spacing w:before="180" w:after="180"/>
              <w:jc w:val="both"/>
              <w:rPr>
                <w:rFonts w:ascii="Arial" w:eastAsia="Arial" w:hAnsi="Arial" w:cs="Arial"/>
                <w:sz w:val="20"/>
                <w:szCs w:val="20"/>
              </w:rPr>
            </w:pPr>
          </w:p>
        </w:tc>
      </w:tr>
    </w:tbl>
    <w:p w:rsidR="00216071" w:rsidRPr="00ED139E" w:rsidRDefault="00216071" w:rsidP="00216071">
      <w:pPr>
        <w:spacing w:before="180" w:after="180"/>
        <w:rPr>
          <w:rFonts w:ascii="Calibri" w:eastAsia="Calibri" w:hAnsi="Calibri" w:cs="Calibri"/>
          <w:sz w:val="20"/>
          <w:szCs w:val="20"/>
        </w:rPr>
      </w:pPr>
    </w:p>
    <w:p w:rsidR="003941B4" w:rsidRDefault="003941B4"/>
    <w:sectPr w:rsidR="003941B4" w:rsidSect="00216071">
      <w:headerReference w:type="even" r:id="rId6"/>
      <w:headerReference w:type="default" r:id="rId7"/>
      <w:footerReference w:type="even" r:id="rId8"/>
      <w:footerReference w:type="default" r:id="rId9"/>
      <w:headerReference w:type="first" r:id="rId10"/>
      <w:footerReference w:type="first" r:id="rId11"/>
      <w:pgSz w:w="11900" w:h="16840"/>
      <w:pgMar w:top="846" w:right="981" w:bottom="1052" w:left="1411" w:header="0" w:footer="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68" w:rsidRDefault="002E2868" w:rsidP="00216071">
      <w:r>
        <w:separator/>
      </w:r>
    </w:p>
  </w:endnote>
  <w:endnote w:type="continuationSeparator" w:id="0">
    <w:p w:rsidR="002E2868" w:rsidRDefault="002E2868" w:rsidP="0021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1" w:rsidRDefault="00216071">
    <w:pPr>
      <w:pBdr>
        <w:top w:val="nil"/>
        <w:left w:val="nil"/>
        <w:bottom w:val="nil"/>
        <w:right w:val="nil"/>
        <w:between w:val="nil"/>
      </w:pBdr>
      <w:tabs>
        <w:tab w:val="center" w:pos="4513"/>
        <w:tab w:val="right" w:pos="9026"/>
      </w:tabs>
    </w:pPr>
  </w:p>
  <w:tbl>
    <w:tblPr>
      <w:tblW w:w="9644" w:type="dxa"/>
      <w:tblLayout w:type="fixed"/>
      <w:tblLook w:val="0000" w:firstRow="0" w:lastRow="0" w:firstColumn="0" w:lastColumn="0" w:noHBand="0" w:noVBand="0"/>
    </w:tblPr>
    <w:tblGrid>
      <w:gridCol w:w="3214"/>
      <w:gridCol w:w="3215"/>
      <w:gridCol w:w="3215"/>
    </w:tblGrid>
    <w:tr w:rsidR="00216071">
      <w:tc>
        <w:tcPr>
          <w:tcW w:w="3214" w:type="dxa"/>
          <w:vAlign w:val="bottom"/>
        </w:tcPr>
        <w:p w:rsidR="00216071" w:rsidRDefault="00216071">
          <w:pPr>
            <w:pBdr>
              <w:top w:val="nil"/>
              <w:left w:val="nil"/>
              <w:bottom w:val="nil"/>
              <w:right w:val="nil"/>
              <w:between w:val="nil"/>
            </w:pBdr>
            <w:tabs>
              <w:tab w:val="center" w:pos="4513"/>
              <w:tab w:val="right" w:pos="9026"/>
            </w:tabs>
            <w:rPr>
              <w:sz w:val="12"/>
              <w:szCs w:val="12"/>
            </w:rPr>
          </w:pPr>
        </w:p>
      </w:tc>
      <w:tc>
        <w:tcPr>
          <w:tcW w:w="3215" w:type="dxa"/>
        </w:tcPr>
        <w:p w:rsidR="00216071" w:rsidRDefault="00216071">
          <w:pPr>
            <w:pBdr>
              <w:top w:val="nil"/>
              <w:left w:val="nil"/>
              <w:bottom w:val="nil"/>
              <w:right w:val="nil"/>
              <w:between w:val="nil"/>
            </w:pBdr>
            <w:spacing w:before="180" w:after="180"/>
            <w:jc w:val="center"/>
            <w:rPr>
              <w:rFonts w:ascii="Times New Roman" w:eastAsia="Times New Roman" w:hAnsi="Times New Roman" w:cs="Times New Roman"/>
              <w:b/>
              <w:color w:val="1F497D"/>
            </w:rPr>
          </w:pPr>
        </w:p>
      </w:tc>
      <w:tc>
        <w:tcPr>
          <w:tcW w:w="3215" w:type="dxa"/>
        </w:tcPr>
        <w:p w:rsidR="00216071" w:rsidRDefault="00216071">
          <w:pPr>
            <w:pBdr>
              <w:top w:val="nil"/>
              <w:left w:val="nil"/>
              <w:bottom w:val="nil"/>
              <w:right w:val="nil"/>
              <w:between w:val="nil"/>
            </w:pBdr>
            <w:tabs>
              <w:tab w:val="center" w:pos="4513"/>
              <w:tab w:val="right" w:pos="9026"/>
            </w:tabs>
            <w:jc w:val="right"/>
          </w:pPr>
        </w:p>
      </w:tc>
    </w:tr>
  </w:tbl>
  <w:p w:rsidR="00216071" w:rsidRDefault="00216071">
    <w:pPr>
      <w:pBdr>
        <w:top w:val="nil"/>
        <w:left w:val="nil"/>
        <w:bottom w:val="nil"/>
        <w:right w:val="nil"/>
        <w:between w:val="nil"/>
      </w:pBdr>
      <w:tabs>
        <w:tab w:val="center" w:pos="4513"/>
        <w:tab w:val="right" w:pos="9026"/>
      </w:tabs>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1" w:rsidRDefault="00216071">
    <w:pPr>
      <w:pBdr>
        <w:top w:val="nil"/>
        <w:left w:val="nil"/>
        <w:bottom w:val="nil"/>
        <w:right w:val="nil"/>
        <w:between w:val="nil"/>
      </w:pBdr>
      <w:tabs>
        <w:tab w:val="center" w:pos="4513"/>
        <w:tab w:val="right" w:pos="9026"/>
      </w:tabs>
      <w:jc w:val="center"/>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C65A6">
      <w:rPr>
        <w:rFonts w:ascii="Arial" w:eastAsia="Arial" w:hAnsi="Arial" w:cs="Arial"/>
        <w:noProof/>
        <w:sz w:val="20"/>
        <w:szCs w:val="20"/>
      </w:rPr>
      <w:t>1</w:t>
    </w:r>
    <w:r>
      <w:rPr>
        <w:rFonts w:ascii="Arial" w:eastAsia="Arial" w:hAnsi="Arial" w:cs="Arial"/>
        <w:sz w:val="20"/>
        <w:szCs w:val="20"/>
      </w:rPr>
      <w:fldChar w:fldCharType="end"/>
    </w:r>
  </w:p>
  <w:tbl>
    <w:tblPr>
      <w:tblW w:w="9644" w:type="dxa"/>
      <w:tblLayout w:type="fixed"/>
      <w:tblLook w:val="0000" w:firstRow="0" w:lastRow="0" w:firstColumn="0" w:lastColumn="0" w:noHBand="0" w:noVBand="0"/>
    </w:tblPr>
    <w:tblGrid>
      <w:gridCol w:w="3214"/>
      <w:gridCol w:w="3215"/>
      <w:gridCol w:w="3215"/>
    </w:tblGrid>
    <w:tr w:rsidR="00216071">
      <w:tc>
        <w:tcPr>
          <w:tcW w:w="3214" w:type="dxa"/>
          <w:vAlign w:val="bottom"/>
        </w:tcPr>
        <w:p w:rsidR="00216071" w:rsidRDefault="00216071">
          <w:pPr>
            <w:pBdr>
              <w:top w:val="nil"/>
              <w:left w:val="nil"/>
              <w:bottom w:val="nil"/>
              <w:right w:val="nil"/>
              <w:between w:val="nil"/>
            </w:pBdr>
            <w:tabs>
              <w:tab w:val="center" w:pos="4513"/>
              <w:tab w:val="right" w:pos="9026"/>
            </w:tabs>
            <w:rPr>
              <w:sz w:val="12"/>
              <w:szCs w:val="12"/>
            </w:rPr>
          </w:pPr>
        </w:p>
      </w:tc>
      <w:tc>
        <w:tcPr>
          <w:tcW w:w="3215" w:type="dxa"/>
        </w:tcPr>
        <w:p w:rsidR="00216071" w:rsidRDefault="00216071">
          <w:pPr>
            <w:pBdr>
              <w:top w:val="nil"/>
              <w:left w:val="nil"/>
              <w:bottom w:val="nil"/>
              <w:right w:val="nil"/>
              <w:between w:val="nil"/>
            </w:pBdr>
            <w:spacing w:before="180" w:after="180"/>
            <w:jc w:val="center"/>
            <w:rPr>
              <w:rFonts w:ascii="Times New Roman" w:eastAsia="Times New Roman" w:hAnsi="Times New Roman" w:cs="Times New Roman"/>
              <w:b/>
              <w:color w:val="1F497D"/>
            </w:rPr>
          </w:pPr>
        </w:p>
      </w:tc>
      <w:tc>
        <w:tcPr>
          <w:tcW w:w="3215" w:type="dxa"/>
        </w:tcPr>
        <w:p w:rsidR="00216071" w:rsidRDefault="00216071">
          <w:pPr>
            <w:pBdr>
              <w:top w:val="nil"/>
              <w:left w:val="nil"/>
              <w:bottom w:val="nil"/>
              <w:right w:val="nil"/>
              <w:between w:val="nil"/>
            </w:pBdr>
            <w:tabs>
              <w:tab w:val="center" w:pos="4513"/>
              <w:tab w:val="right" w:pos="9026"/>
            </w:tabs>
            <w:jc w:val="right"/>
          </w:pPr>
        </w:p>
      </w:tc>
    </w:tr>
  </w:tbl>
  <w:p w:rsidR="00216071" w:rsidRDefault="00216071">
    <w:pPr>
      <w:spacing w:line="14" w:lineRule="auto"/>
      <w:rPr>
        <w:rFonts w:ascii="Arial" w:eastAsia="Arial" w:hAnsi="Arial" w:cs="Arial"/>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1" w:rsidRDefault="00216071">
    <w:pPr>
      <w:pBdr>
        <w:top w:val="nil"/>
        <w:left w:val="nil"/>
        <w:bottom w:val="nil"/>
        <w:right w:val="nil"/>
        <w:between w:val="nil"/>
      </w:pBdr>
      <w:tabs>
        <w:tab w:val="center" w:pos="4513"/>
        <w:tab w:val="right" w:pos="9026"/>
      </w:tabs>
    </w:pPr>
  </w:p>
  <w:tbl>
    <w:tblPr>
      <w:tblW w:w="9644" w:type="dxa"/>
      <w:tblLayout w:type="fixed"/>
      <w:tblLook w:val="0000" w:firstRow="0" w:lastRow="0" w:firstColumn="0" w:lastColumn="0" w:noHBand="0" w:noVBand="0"/>
    </w:tblPr>
    <w:tblGrid>
      <w:gridCol w:w="3214"/>
      <w:gridCol w:w="3215"/>
      <w:gridCol w:w="3215"/>
    </w:tblGrid>
    <w:tr w:rsidR="00216071">
      <w:tc>
        <w:tcPr>
          <w:tcW w:w="3214" w:type="dxa"/>
          <w:vAlign w:val="bottom"/>
        </w:tcPr>
        <w:p w:rsidR="00216071" w:rsidRDefault="00216071">
          <w:pPr>
            <w:pBdr>
              <w:top w:val="nil"/>
              <w:left w:val="nil"/>
              <w:bottom w:val="nil"/>
              <w:right w:val="nil"/>
              <w:between w:val="nil"/>
            </w:pBdr>
            <w:tabs>
              <w:tab w:val="center" w:pos="4513"/>
              <w:tab w:val="right" w:pos="9026"/>
            </w:tabs>
            <w:rPr>
              <w:sz w:val="12"/>
              <w:szCs w:val="12"/>
            </w:rPr>
          </w:pPr>
        </w:p>
      </w:tc>
      <w:tc>
        <w:tcPr>
          <w:tcW w:w="3215" w:type="dxa"/>
        </w:tcPr>
        <w:p w:rsidR="00216071" w:rsidRDefault="00216071">
          <w:pPr>
            <w:pBdr>
              <w:top w:val="nil"/>
              <w:left w:val="nil"/>
              <w:bottom w:val="nil"/>
              <w:right w:val="nil"/>
              <w:between w:val="nil"/>
            </w:pBdr>
            <w:spacing w:before="180" w:after="180"/>
            <w:jc w:val="center"/>
            <w:rPr>
              <w:rFonts w:ascii="Times New Roman" w:eastAsia="Times New Roman" w:hAnsi="Times New Roman" w:cs="Times New Roman"/>
              <w:b/>
              <w:color w:val="1F497D"/>
            </w:rPr>
          </w:pPr>
        </w:p>
      </w:tc>
      <w:tc>
        <w:tcPr>
          <w:tcW w:w="3215" w:type="dxa"/>
        </w:tcPr>
        <w:p w:rsidR="00216071" w:rsidRDefault="00216071">
          <w:pPr>
            <w:pBdr>
              <w:top w:val="nil"/>
              <w:left w:val="nil"/>
              <w:bottom w:val="nil"/>
              <w:right w:val="nil"/>
              <w:between w:val="nil"/>
            </w:pBdr>
            <w:tabs>
              <w:tab w:val="center" w:pos="4513"/>
              <w:tab w:val="right" w:pos="9026"/>
            </w:tabs>
            <w:jc w:val="right"/>
          </w:pPr>
        </w:p>
      </w:tc>
    </w:tr>
  </w:tbl>
  <w:p w:rsidR="00216071" w:rsidRDefault="00216071">
    <w:pPr>
      <w:pBdr>
        <w:top w:val="nil"/>
        <w:left w:val="nil"/>
        <w:bottom w:val="nil"/>
        <w:right w:val="nil"/>
        <w:between w:val="nil"/>
      </w:pBdr>
      <w:tabs>
        <w:tab w:val="center" w:pos="4513"/>
        <w:tab w:val="right" w:pos="9026"/>
      </w:tabs>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68" w:rsidRDefault="002E2868" w:rsidP="00216071">
      <w:r>
        <w:separator/>
      </w:r>
    </w:p>
  </w:footnote>
  <w:footnote w:type="continuationSeparator" w:id="0">
    <w:p w:rsidR="002E2868" w:rsidRDefault="002E2868" w:rsidP="00216071">
      <w:r>
        <w:continuationSeparator/>
      </w:r>
    </w:p>
  </w:footnote>
  <w:footnote w:id="1">
    <w:p w:rsidR="00216071" w:rsidRDefault="00216071" w:rsidP="00216071">
      <w:pPr>
        <w:pBdr>
          <w:top w:val="nil"/>
          <w:left w:val="nil"/>
          <w:bottom w:val="nil"/>
          <w:right w:val="nil"/>
          <w:between w:val="nil"/>
        </w:pBdr>
        <w:rPr>
          <w:sz w:val="20"/>
          <w:szCs w:val="20"/>
        </w:rPr>
      </w:pPr>
      <w:r>
        <w:rPr>
          <w:vertAlign w:val="superscript"/>
        </w:rPr>
        <w:footnoteRef/>
      </w:r>
      <w:r>
        <w:rPr>
          <w:rFonts w:ascii="Arial" w:eastAsia="Arial" w:hAnsi="Arial" w:cs="Arial"/>
          <w:sz w:val="18"/>
          <w:szCs w:val="18"/>
        </w:rPr>
        <w:t xml:space="preserve"> Page numbers refer to MS Word page numbers shown in the down-left corner of the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1" w:rsidRDefault="00216071">
    <w:pPr>
      <w:pBdr>
        <w:top w:val="nil"/>
        <w:left w:val="nil"/>
        <w:bottom w:val="nil"/>
        <w:right w:val="nil"/>
        <w:between w:val="nil"/>
      </w:pBdr>
      <w:tabs>
        <w:tab w:val="center" w:pos="4513"/>
        <w:tab w:val="right" w:pos="90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1" w:rsidRDefault="00216071">
    <w:pPr>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1" w:rsidRDefault="00216071">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71"/>
    <w:rsid w:val="00216071"/>
    <w:rsid w:val="002E2868"/>
    <w:rsid w:val="003941B4"/>
    <w:rsid w:val="008C364A"/>
    <w:rsid w:val="008F0F41"/>
    <w:rsid w:val="00B86D3B"/>
    <w:rsid w:val="00D44641"/>
    <w:rsid w:val="00FC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62AC"/>
  <w15:chartTrackingRefBased/>
  <w15:docId w15:val="{D32217F8-3750-4CDC-9827-950691A5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071"/>
    <w:pPr>
      <w:widowControl w:val="0"/>
      <w:spacing w:after="0" w:line="240" w:lineRule="auto"/>
    </w:pPr>
    <w:rPr>
      <w:rFonts w:ascii="Courier New" w:eastAsia="Courier New" w:hAnsi="Courier New" w:cs="Courier New"/>
      <w:color w:val="000000"/>
      <w:kern w:val="0"/>
      <w:lang w:val="en-GB" w:eastAsia="ru-RU"/>
      <w14:ligatures w14:val="none"/>
    </w:rPr>
  </w:style>
  <w:style w:type="paragraph" w:styleId="1">
    <w:name w:val="heading 1"/>
    <w:basedOn w:val="a"/>
    <w:next w:val="a"/>
    <w:link w:val="10"/>
    <w:uiPriority w:val="9"/>
    <w:qFormat/>
    <w:rsid w:val="0021607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21607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216071"/>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216071"/>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ru-RU" w:eastAsia="en-US"/>
      <w14:ligatures w14:val="standardContextual"/>
    </w:rPr>
  </w:style>
  <w:style w:type="paragraph" w:styleId="5">
    <w:name w:val="heading 5"/>
    <w:basedOn w:val="a"/>
    <w:next w:val="a"/>
    <w:link w:val="50"/>
    <w:uiPriority w:val="9"/>
    <w:semiHidden/>
    <w:unhideWhenUsed/>
    <w:qFormat/>
    <w:rsid w:val="00216071"/>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ru-RU" w:eastAsia="en-US"/>
      <w14:ligatures w14:val="standardContextual"/>
    </w:rPr>
  </w:style>
  <w:style w:type="paragraph" w:styleId="6">
    <w:name w:val="heading 6"/>
    <w:basedOn w:val="a"/>
    <w:next w:val="a"/>
    <w:link w:val="60"/>
    <w:uiPriority w:val="9"/>
    <w:semiHidden/>
    <w:unhideWhenUsed/>
    <w:qFormat/>
    <w:rsid w:val="00216071"/>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ru-RU" w:eastAsia="en-US"/>
      <w14:ligatures w14:val="standardContextual"/>
    </w:rPr>
  </w:style>
  <w:style w:type="paragraph" w:styleId="7">
    <w:name w:val="heading 7"/>
    <w:basedOn w:val="a"/>
    <w:next w:val="a"/>
    <w:link w:val="70"/>
    <w:uiPriority w:val="9"/>
    <w:semiHidden/>
    <w:unhideWhenUsed/>
    <w:qFormat/>
    <w:rsid w:val="00216071"/>
    <w:pPr>
      <w:keepNext/>
      <w:keepLines/>
      <w:widowControl/>
      <w:spacing w:before="40" w:line="278" w:lineRule="auto"/>
      <w:outlineLvl w:val="6"/>
    </w:pPr>
    <w:rPr>
      <w:rFonts w:asciiTheme="minorHAnsi" w:eastAsiaTheme="majorEastAsia" w:hAnsiTheme="minorHAnsi" w:cstheme="majorBidi"/>
      <w:color w:val="595959" w:themeColor="text1" w:themeTint="A6"/>
      <w:kern w:val="2"/>
      <w:lang w:val="ru-RU" w:eastAsia="en-US"/>
      <w14:ligatures w14:val="standardContextual"/>
    </w:rPr>
  </w:style>
  <w:style w:type="paragraph" w:styleId="8">
    <w:name w:val="heading 8"/>
    <w:basedOn w:val="a"/>
    <w:next w:val="a"/>
    <w:link w:val="80"/>
    <w:uiPriority w:val="9"/>
    <w:semiHidden/>
    <w:unhideWhenUsed/>
    <w:qFormat/>
    <w:rsid w:val="00216071"/>
    <w:pPr>
      <w:keepNext/>
      <w:keepLines/>
      <w:widowControl/>
      <w:spacing w:line="278" w:lineRule="auto"/>
      <w:outlineLvl w:val="7"/>
    </w:pPr>
    <w:rPr>
      <w:rFonts w:asciiTheme="minorHAnsi" w:eastAsiaTheme="majorEastAsia" w:hAnsiTheme="minorHAnsi" w:cstheme="majorBidi"/>
      <w:i/>
      <w:iCs/>
      <w:color w:val="272727" w:themeColor="text1" w:themeTint="D8"/>
      <w:kern w:val="2"/>
      <w:lang w:val="ru-RU" w:eastAsia="en-US"/>
      <w14:ligatures w14:val="standardContextual"/>
    </w:rPr>
  </w:style>
  <w:style w:type="paragraph" w:styleId="9">
    <w:name w:val="heading 9"/>
    <w:basedOn w:val="a"/>
    <w:next w:val="a"/>
    <w:link w:val="90"/>
    <w:uiPriority w:val="9"/>
    <w:semiHidden/>
    <w:unhideWhenUsed/>
    <w:qFormat/>
    <w:rsid w:val="00216071"/>
    <w:pPr>
      <w:keepNext/>
      <w:keepLines/>
      <w:widowControl/>
      <w:spacing w:line="278" w:lineRule="auto"/>
      <w:outlineLvl w:val="8"/>
    </w:pPr>
    <w:rPr>
      <w:rFonts w:asciiTheme="minorHAnsi" w:eastAsiaTheme="majorEastAsia" w:hAnsiTheme="minorHAnsi" w:cstheme="majorBidi"/>
      <w:color w:val="272727" w:themeColor="text1" w:themeTint="D8"/>
      <w:kern w:val="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0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60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60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60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60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60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6071"/>
    <w:rPr>
      <w:rFonts w:eastAsiaTheme="majorEastAsia" w:cstheme="majorBidi"/>
      <w:color w:val="595959" w:themeColor="text1" w:themeTint="A6"/>
    </w:rPr>
  </w:style>
  <w:style w:type="character" w:customStyle="1" w:styleId="80">
    <w:name w:val="Заголовок 8 Знак"/>
    <w:basedOn w:val="a0"/>
    <w:link w:val="8"/>
    <w:uiPriority w:val="9"/>
    <w:semiHidden/>
    <w:rsid w:val="002160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6071"/>
    <w:rPr>
      <w:rFonts w:eastAsiaTheme="majorEastAsia" w:cstheme="majorBidi"/>
      <w:color w:val="272727" w:themeColor="text1" w:themeTint="D8"/>
    </w:rPr>
  </w:style>
  <w:style w:type="paragraph" w:styleId="a3">
    <w:name w:val="Title"/>
    <w:basedOn w:val="a"/>
    <w:next w:val="a"/>
    <w:link w:val="a4"/>
    <w:uiPriority w:val="10"/>
    <w:qFormat/>
    <w:rsid w:val="00216071"/>
    <w:pPr>
      <w:widowControl/>
      <w:spacing w:after="80"/>
      <w:contextualSpacing/>
    </w:pPr>
    <w:rPr>
      <w:rFonts w:asciiTheme="majorHAnsi" w:eastAsiaTheme="majorEastAsia" w:hAnsiTheme="majorHAnsi" w:cstheme="majorBidi"/>
      <w:color w:val="auto"/>
      <w:spacing w:val="-10"/>
      <w:kern w:val="28"/>
      <w:sz w:val="56"/>
      <w:szCs w:val="56"/>
      <w:lang w:val="ru-RU" w:eastAsia="en-US"/>
      <w14:ligatures w14:val="standardContextual"/>
    </w:rPr>
  </w:style>
  <w:style w:type="character" w:customStyle="1" w:styleId="a4">
    <w:name w:val="Заголовок Знак"/>
    <w:basedOn w:val="a0"/>
    <w:link w:val="a3"/>
    <w:uiPriority w:val="10"/>
    <w:rsid w:val="00216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07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2160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6071"/>
    <w:pPr>
      <w:widowControl/>
      <w:spacing w:before="160" w:after="160" w:line="278" w:lineRule="auto"/>
      <w:jc w:val="center"/>
    </w:pPr>
    <w:rPr>
      <w:rFonts w:asciiTheme="minorHAnsi" w:eastAsiaTheme="minorHAnsi" w:hAnsiTheme="minorHAnsi" w:cstheme="minorBidi"/>
      <w:i/>
      <w:iCs/>
      <w:color w:val="404040" w:themeColor="text1" w:themeTint="BF"/>
      <w:kern w:val="2"/>
      <w:lang w:val="ru-RU" w:eastAsia="en-US"/>
      <w14:ligatures w14:val="standardContextual"/>
    </w:rPr>
  </w:style>
  <w:style w:type="character" w:customStyle="1" w:styleId="22">
    <w:name w:val="Цитата 2 Знак"/>
    <w:basedOn w:val="a0"/>
    <w:link w:val="21"/>
    <w:uiPriority w:val="29"/>
    <w:rsid w:val="00216071"/>
    <w:rPr>
      <w:i/>
      <w:iCs/>
      <w:color w:val="404040" w:themeColor="text1" w:themeTint="BF"/>
    </w:rPr>
  </w:style>
  <w:style w:type="paragraph" w:styleId="a7">
    <w:name w:val="List Paragraph"/>
    <w:basedOn w:val="a"/>
    <w:uiPriority w:val="34"/>
    <w:qFormat/>
    <w:rsid w:val="00216071"/>
    <w:pPr>
      <w:widowControl/>
      <w:spacing w:after="160" w:line="278" w:lineRule="auto"/>
      <w:ind w:left="720"/>
      <w:contextualSpacing/>
    </w:pPr>
    <w:rPr>
      <w:rFonts w:asciiTheme="minorHAnsi" w:eastAsiaTheme="minorHAnsi" w:hAnsiTheme="minorHAnsi" w:cstheme="minorBidi"/>
      <w:color w:val="auto"/>
      <w:kern w:val="2"/>
      <w:lang w:val="ru-RU" w:eastAsia="en-US"/>
      <w14:ligatures w14:val="standardContextual"/>
    </w:rPr>
  </w:style>
  <w:style w:type="character" w:styleId="a8">
    <w:name w:val="Intense Emphasis"/>
    <w:basedOn w:val="a0"/>
    <w:uiPriority w:val="21"/>
    <w:qFormat/>
    <w:rsid w:val="00216071"/>
    <w:rPr>
      <w:i/>
      <w:iCs/>
      <w:color w:val="0F4761" w:themeColor="accent1" w:themeShade="BF"/>
    </w:rPr>
  </w:style>
  <w:style w:type="paragraph" w:styleId="a9">
    <w:name w:val="Intense Quote"/>
    <w:basedOn w:val="a"/>
    <w:next w:val="a"/>
    <w:link w:val="aa"/>
    <w:uiPriority w:val="30"/>
    <w:qFormat/>
    <w:rsid w:val="0021607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RU" w:eastAsia="en-US"/>
      <w14:ligatures w14:val="standardContextual"/>
    </w:rPr>
  </w:style>
  <w:style w:type="character" w:customStyle="1" w:styleId="aa">
    <w:name w:val="Выделенная цитата Знак"/>
    <w:basedOn w:val="a0"/>
    <w:link w:val="a9"/>
    <w:uiPriority w:val="30"/>
    <w:rsid w:val="00216071"/>
    <w:rPr>
      <w:i/>
      <w:iCs/>
      <w:color w:val="0F4761" w:themeColor="accent1" w:themeShade="BF"/>
    </w:rPr>
  </w:style>
  <w:style w:type="character" w:styleId="ab">
    <w:name w:val="Intense Reference"/>
    <w:basedOn w:val="a0"/>
    <w:uiPriority w:val="32"/>
    <w:qFormat/>
    <w:rsid w:val="00216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1731</Words>
  <Characters>9869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next nout</cp:lastModifiedBy>
  <cp:revision>1</cp:revision>
  <dcterms:created xsi:type="dcterms:W3CDTF">2025-10-22T13:25:00Z</dcterms:created>
  <dcterms:modified xsi:type="dcterms:W3CDTF">2025-10-22T13:25:00Z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2025-10-06T19:57:26Z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27f8062c-7280-43cb-8538-dde40edfb81b</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